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40" w:lineRule="exact"/>
        <w:ind w:firstLine="1225" w:firstLineChars="396"/>
        <w:rPr>
          <w:rFonts w:hint="eastAsia" w:ascii="宋体" w:hAnsi="宋体" w:eastAsia="宋体"/>
          <w:spacing w:val="-6"/>
          <w:szCs w:val="32"/>
          <w:lang w:val="en-US" w:eastAsia="zh-CN"/>
        </w:rPr>
      </w:pPr>
      <w:r>
        <w:rPr>
          <w:rFonts w:hint="eastAsia" w:ascii="宋体" w:hAnsi="宋体"/>
          <w:spacing w:val="-6"/>
          <w:szCs w:val="32"/>
        </w:rPr>
        <w:t>护理专业</w:t>
      </w:r>
      <w:r>
        <w:rPr>
          <w:rFonts w:hint="eastAsia" w:ascii="宋体" w:hAnsi="宋体"/>
          <w:spacing w:val="-6"/>
          <w:szCs w:val="32"/>
          <w:lang w:val="en-US" w:eastAsia="zh-CN"/>
        </w:rPr>
        <w:t>人才培养方案</w:t>
      </w:r>
      <w:bookmarkStart w:id="0" w:name="_GoBack"/>
      <w:bookmarkEnd w:id="0"/>
    </w:p>
    <w:p>
      <w:pPr>
        <w:spacing w:line="440" w:lineRule="exact"/>
        <w:rPr>
          <w:rFonts w:ascii="宋体" w:hAnsi="宋体" w:cs="宋体"/>
          <w:sz w:val="24"/>
        </w:rPr>
      </w:pPr>
      <w:r>
        <w:rPr>
          <w:rFonts w:hint="eastAsia" w:ascii="宋体" w:hAnsi="宋体"/>
          <w:b/>
          <w:bCs/>
          <w:sz w:val="24"/>
        </w:rPr>
        <w:t xml:space="preserve">专业名称 </w:t>
      </w:r>
      <w:r>
        <w:rPr>
          <w:rFonts w:hint="eastAsia" w:ascii="宋体" w:hAnsi="宋体" w:cs="宋体"/>
          <w:sz w:val="24"/>
        </w:rPr>
        <w:t>护理专业</w:t>
      </w:r>
    </w:p>
    <w:p>
      <w:pPr>
        <w:snapToGrid w:val="0"/>
        <w:spacing w:line="440" w:lineRule="exact"/>
        <w:rPr>
          <w:rFonts w:ascii="宋体" w:hAnsi="宋体" w:cs="宋体"/>
          <w:sz w:val="24"/>
        </w:rPr>
      </w:pPr>
      <w:r>
        <w:rPr>
          <w:rFonts w:hint="eastAsia" w:ascii="宋体" w:hAnsi="宋体"/>
          <w:b/>
          <w:bCs/>
          <w:sz w:val="24"/>
        </w:rPr>
        <w:t xml:space="preserve">专业代码  </w:t>
      </w:r>
      <w:r>
        <w:rPr>
          <w:rFonts w:hint="eastAsia" w:ascii="宋体" w:hAnsi="宋体" w:cs="宋体"/>
          <w:sz w:val="24"/>
        </w:rPr>
        <w:t>620201</w:t>
      </w:r>
    </w:p>
    <w:p>
      <w:pPr>
        <w:rPr>
          <w:spacing w:val="10"/>
          <w:position w:val="6"/>
          <w:sz w:val="24"/>
        </w:rPr>
      </w:pPr>
      <w:r>
        <w:rPr>
          <w:rFonts w:hint="eastAsia" w:ascii="宋体" w:hAnsi="宋体"/>
          <w:b/>
          <w:bCs/>
          <w:sz w:val="24"/>
        </w:rPr>
        <w:t xml:space="preserve">招生对象  </w:t>
      </w:r>
      <w:r>
        <w:rPr>
          <w:rFonts w:hint="eastAsia"/>
          <w:spacing w:val="10"/>
          <w:position w:val="6"/>
          <w:sz w:val="24"/>
        </w:rPr>
        <w:t>具有高中、中等学校毕业或同等学历在职从业人员和其他社会人员</w:t>
      </w:r>
    </w:p>
    <w:p>
      <w:pPr>
        <w:spacing w:line="440" w:lineRule="exact"/>
        <w:rPr>
          <w:rFonts w:ascii="宋体" w:hAnsi="宋体"/>
          <w:b/>
          <w:bCs/>
          <w:sz w:val="28"/>
          <w:szCs w:val="28"/>
        </w:rPr>
      </w:pPr>
      <w:r>
        <w:rPr>
          <w:rFonts w:hint="eastAsia" w:ascii="宋体" w:hAnsi="宋体"/>
          <w:b/>
          <w:bCs/>
          <w:sz w:val="24"/>
        </w:rPr>
        <w:t>学制与学历</w:t>
      </w:r>
      <w:r>
        <w:rPr>
          <w:rFonts w:hint="eastAsia" w:ascii="宋体" w:hAnsi="宋体"/>
          <w:b/>
          <w:bCs/>
          <w:sz w:val="28"/>
          <w:szCs w:val="28"/>
        </w:rPr>
        <w:t xml:space="preserve">  </w:t>
      </w:r>
      <w:r>
        <w:rPr>
          <w:rFonts w:hint="eastAsia" w:ascii="宋体" w:hAnsi="宋体"/>
          <w:sz w:val="24"/>
        </w:rPr>
        <w:t>2.5 -6年  专科</w:t>
      </w:r>
    </w:p>
    <w:p>
      <w:pPr>
        <w:spacing w:line="440" w:lineRule="exact"/>
        <w:rPr>
          <w:rFonts w:ascii="宋体" w:hAnsi="宋体"/>
          <w:b/>
          <w:bCs/>
          <w:sz w:val="24"/>
        </w:rPr>
      </w:pPr>
      <w:r>
        <w:rPr>
          <w:rFonts w:hint="eastAsia" w:ascii="宋体" w:hAnsi="宋体"/>
          <w:b/>
          <w:bCs/>
          <w:sz w:val="24"/>
        </w:rPr>
        <w:t>就业面向</w:t>
      </w:r>
    </w:p>
    <w:p>
      <w:pPr>
        <w:snapToGrid w:val="0"/>
        <w:spacing w:line="440" w:lineRule="exact"/>
        <w:ind w:firstLine="480" w:firstLineChars="200"/>
        <w:rPr>
          <w:rFonts w:ascii="宋体" w:hAnsi="宋体" w:cs="宋体"/>
          <w:sz w:val="24"/>
        </w:rPr>
      </w:pPr>
      <w:r>
        <w:rPr>
          <w:rFonts w:hint="eastAsia"/>
          <w:sz w:val="24"/>
        </w:rPr>
        <w:t>主要面向各级各类医疗卫生机构护理岗位，包括医院、社区卫生服务中心、乡镇卫生院、疾病预防控制中心、专科疾病防治机构、妇幼保健机构、急救中心等；其次是老年服务与健康管理企事业单位护理及护理相关岗位。</w:t>
      </w:r>
    </w:p>
    <w:p>
      <w:pPr>
        <w:spacing w:line="440" w:lineRule="exact"/>
        <w:ind w:firstLine="482" w:firstLineChars="200"/>
        <w:jc w:val="center"/>
        <w:rPr>
          <w:rFonts w:ascii="仿宋_GB2312" w:eastAsia="仿宋_GB2312"/>
          <w:sz w:val="24"/>
        </w:rPr>
      </w:pPr>
      <w:r>
        <w:rPr>
          <w:rFonts w:hint="eastAsia" w:ascii="宋体" w:hAnsi="宋体"/>
          <w:b/>
          <w:sz w:val="24"/>
        </w:rPr>
        <w:t>表1就业岗位和适用岗位群</w:t>
      </w:r>
    </w:p>
    <w:tbl>
      <w:tblPr>
        <w:tblStyle w:val="3"/>
        <w:tblW w:w="8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4"/>
        <w:gridCol w:w="1844"/>
        <w:gridCol w:w="3241"/>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exact"/>
          <w:jc w:val="center"/>
        </w:trPr>
        <w:tc>
          <w:tcPr>
            <w:tcW w:w="2384" w:type="dxa"/>
            <w:vAlign w:val="center"/>
          </w:tcPr>
          <w:p>
            <w:pPr>
              <w:widowControl/>
              <w:jc w:val="center"/>
              <w:textAlignment w:val="center"/>
              <w:rPr>
                <w:rFonts w:ascii="宋体" w:hAnsi="宋体"/>
              </w:rPr>
            </w:pPr>
            <w:r>
              <w:rPr>
                <w:rFonts w:hint="eastAsia" w:ascii="宋体" w:hAnsi="宋体" w:cs="宋体"/>
                <w:color w:val="000000"/>
                <w:kern w:val="0"/>
                <w:szCs w:val="21"/>
                <w:lang w:bidi="ar"/>
              </w:rPr>
              <w:t>专业化方向</w:t>
            </w:r>
          </w:p>
        </w:tc>
        <w:tc>
          <w:tcPr>
            <w:tcW w:w="1844" w:type="dxa"/>
            <w:vAlign w:val="center"/>
          </w:tcPr>
          <w:p>
            <w:pPr>
              <w:widowControl/>
              <w:jc w:val="center"/>
              <w:textAlignment w:val="center"/>
              <w:rPr>
                <w:rFonts w:ascii="宋体" w:hAnsi="宋体"/>
              </w:rPr>
            </w:pPr>
            <w:r>
              <w:rPr>
                <w:rFonts w:hint="eastAsia" w:ascii="宋体" w:hAnsi="宋体" w:cs="宋体"/>
                <w:color w:val="000000"/>
                <w:kern w:val="0"/>
                <w:szCs w:val="21"/>
                <w:lang w:bidi="ar"/>
              </w:rPr>
              <w:t>职业资格</w:t>
            </w:r>
          </w:p>
        </w:tc>
        <w:tc>
          <w:tcPr>
            <w:tcW w:w="3241" w:type="dxa"/>
            <w:vAlign w:val="center"/>
          </w:tcPr>
          <w:p>
            <w:pPr>
              <w:widowControl/>
              <w:jc w:val="center"/>
              <w:textAlignment w:val="center"/>
              <w:rPr>
                <w:rFonts w:ascii="宋体" w:hAnsi="宋体"/>
              </w:rPr>
            </w:pPr>
            <w:r>
              <w:rPr>
                <w:rFonts w:hint="eastAsia" w:ascii="宋体" w:hAnsi="宋体" w:cs="宋体"/>
                <w:color w:val="000000"/>
                <w:kern w:val="0"/>
                <w:szCs w:val="21"/>
                <w:lang w:bidi="ar"/>
              </w:rPr>
              <w:t>拓展就业岗位群</w:t>
            </w:r>
          </w:p>
        </w:tc>
        <w:tc>
          <w:tcPr>
            <w:tcW w:w="1170" w:type="dxa"/>
            <w:vAlign w:val="center"/>
          </w:tcPr>
          <w:p>
            <w:pPr>
              <w:widowControl/>
              <w:jc w:val="center"/>
              <w:textAlignment w:val="center"/>
              <w:rPr>
                <w:rFonts w:ascii="宋体" w:hAnsi="宋体"/>
              </w:rPr>
            </w:pPr>
            <w:r>
              <w:rPr>
                <w:rFonts w:hint="eastAsia" w:ascii="宋体" w:hAnsi="宋体" w:cs="宋体"/>
                <w:color w:val="000000"/>
                <w:kern w:val="0"/>
                <w:szCs w:val="21"/>
                <w:lang w:bidi="ar"/>
              </w:rPr>
              <w:t>发展岗位群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exact"/>
          <w:jc w:val="center"/>
        </w:trPr>
        <w:tc>
          <w:tcPr>
            <w:tcW w:w="2384" w:type="dxa"/>
            <w:vAlign w:val="center"/>
          </w:tcPr>
          <w:p>
            <w:pPr>
              <w:widowControl/>
              <w:jc w:val="center"/>
              <w:textAlignment w:val="center"/>
              <w:rPr>
                <w:rFonts w:ascii="宋体" w:hAnsi="宋体"/>
              </w:rPr>
            </w:pPr>
            <w:r>
              <w:rPr>
                <w:rFonts w:hint="eastAsia" w:ascii="宋体" w:hAnsi="宋体" w:cs="宋体"/>
                <w:color w:val="000000"/>
                <w:kern w:val="0"/>
                <w:szCs w:val="21"/>
                <w:lang w:bidi="ar"/>
              </w:rPr>
              <w:t xml:space="preserve">  </w:t>
            </w:r>
            <w:r>
              <w:rPr>
                <w:rStyle w:val="5"/>
                <w:rFonts w:hint="default"/>
                <w:lang w:bidi="ar"/>
              </w:rPr>
              <w:t>临床护理方向</w:t>
            </w:r>
          </w:p>
        </w:tc>
        <w:tc>
          <w:tcPr>
            <w:tcW w:w="1844" w:type="dxa"/>
            <w:vMerge w:val="restart"/>
          </w:tcPr>
          <w:p>
            <w:pPr>
              <w:widowControl/>
              <w:jc w:val="center"/>
              <w:textAlignment w:val="top"/>
              <w:rPr>
                <w:rFonts w:ascii="宋体" w:hAnsi="宋体"/>
              </w:rPr>
            </w:pPr>
            <w:r>
              <w:rPr>
                <w:rFonts w:hint="eastAsia" w:ascii="宋体" w:hAnsi="宋体" w:cs="宋体"/>
                <w:color w:val="000000"/>
                <w:kern w:val="0"/>
                <w:szCs w:val="21"/>
                <w:lang w:bidi="ar"/>
              </w:rPr>
              <w:t>具有护士执业</w:t>
            </w:r>
            <w:r>
              <w:rPr>
                <w:rStyle w:val="5"/>
                <w:rFonts w:hint="default"/>
                <w:lang w:bidi="ar"/>
              </w:rPr>
              <w:t xml:space="preserve">     资格证书</w:t>
            </w:r>
          </w:p>
        </w:tc>
        <w:tc>
          <w:tcPr>
            <w:tcW w:w="3241" w:type="dxa"/>
            <w:vAlign w:val="center"/>
          </w:tcPr>
          <w:p>
            <w:pPr>
              <w:widowControl/>
              <w:jc w:val="center"/>
              <w:textAlignment w:val="center"/>
              <w:rPr>
                <w:rFonts w:ascii="宋体" w:hAnsi="宋体"/>
              </w:rPr>
            </w:pPr>
            <w:r>
              <w:rPr>
                <w:rFonts w:hint="eastAsia" w:ascii="宋体" w:hAnsi="宋体" w:cs="宋体"/>
                <w:color w:val="000000"/>
                <w:kern w:val="0"/>
                <w:szCs w:val="21"/>
                <w:lang w:bidi="ar"/>
              </w:rPr>
              <w:t>综合医院</w:t>
            </w:r>
          </w:p>
        </w:tc>
        <w:tc>
          <w:tcPr>
            <w:tcW w:w="1170" w:type="dxa"/>
            <w:vMerge w:val="restart"/>
            <w:vAlign w:val="center"/>
          </w:tcPr>
          <w:p>
            <w:pPr>
              <w:widowControl/>
              <w:jc w:val="center"/>
              <w:textAlignment w:val="center"/>
              <w:rPr>
                <w:rFonts w:ascii="宋体" w:hAnsi="宋体"/>
              </w:rPr>
            </w:pPr>
            <w:r>
              <w:rPr>
                <w:rFonts w:hint="eastAsia" w:ascii="宋体" w:hAnsi="宋体" w:cs="宋体"/>
                <w:color w:val="000000"/>
                <w:kern w:val="0"/>
                <w:szCs w:val="21"/>
                <w:lang w:bidi="ar"/>
              </w:rPr>
              <w:t>主任护理师、副主任护理师、</w:t>
            </w:r>
            <w:r>
              <w:rPr>
                <w:rStyle w:val="5"/>
                <w:rFonts w:hint="default"/>
                <w:lang w:bidi="ar"/>
              </w:rPr>
              <w:t>主管护师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exact"/>
          <w:jc w:val="center"/>
        </w:trPr>
        <w:tc>
          <w:tcPr>
            <w:tcW w:w="2384" w:type="dxa"/>
            <w:vAlign w:val="center"/>
          </w:tcPr>
          <w:p>
            <w:pPr>
              <w:widowControl/>
              <w:jc w:val="center"/>
              <w:textAlignment w:val="center"/>
              <w:rPr>
                <w:rFonts w:ascii="宋体" w:hAnsi="宋体"/>
              </w:rPr>
            </w:pPr>
            <w:r>
              <w:rPr>
                <w:rFonts w:hint="eastAsia" w:ascii="宋体" w:hAnsi="宋体" w:cs="宋体"/>
                <w:color w:val="000000"/>
                <w:kern w:val="0"/>
                <w:szCs w:val="21"/>
                <w:lang w:bidi="ar"/>
              </w:rPr>
              <w:t>社区护理方向</w:t>
            </w:r>
          </w:p>
        </w:tc>
        <w:tc>
          <w:tcPr>
            <w:tcW w:w="1844" w:type="dxa"/>
            <w:vMerge w:val="continue"/>
          </w:tcPr>
          <w:p>
            <w:pPr>
              <w:jc w:val="center"/>
              <w:rPr>
                <w:rFonts w:ascii="宋体" w:hAnsi="宋体"/>
              </w:rPr>
            </w:pPr>
          </w:p>
        </w:tc>
        <w:tc>
          <w:tcPr>
            <w:tcW w:w="3241" w:type="dxa"/>
            <w:vAlign w:val="center"/>
          </w:tcPr>
          <w:p>
            <w:pPr>
              <w:widowControl/>
              <w:jc w:val="center"/>
              <w:textAlignment w:val="center"/>
              <w:rPr>
                <w:rFonts w:ascii="宋体" w:hAnsi="宋体"/>
              </w:rPr>
            </w:pPr>
            <w:r>
              <w:rPr>
                <w:rFonts w:hint="eastAsia" w:ascii="宋体" w:hAnsi="宋体" w:cs="宋体"/>
                <w:color w:val="000000"/>
                <w:kern w:val="0"/>
                <w:szCs w:val="21"/>
                <w:lang w:bidi="ar"/>
              </w:rPr>
              <w:t>社区医院、卫生院</w:t>
            </w:r>
          </w:p>
        </w:tc>
        <w:tc>
          <w:tcPr>
            <w:tcW w:w="1170" w:type="dxa"/>
            <w:vMerge w:val="continue"/>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exact"/>
          <w:jc w:val="center"/>
        </w:trPr>
        <w:tc>
          <w:tcPr>
            <w:tcW w:w="2384" w:type="dxa"/>
            <w:vAlign w:val="center"/>
          </w:tcPr>
          <w:p>
            <w:pPr>
              <w:widowControl/>
              <w:jc w:val="center"/>
              <w:textAlignment w:val="center"/>
              <w:rPr>
                <w:rFonts w:ascii="宋体" w:hAnsi="宋体"/>
              </w:rPr>
            </w:pPr>
            <w:r>
              <w:rPr>
                <w:rFonts w:hint="eastAsia" w:ascii="宋体" w:hAnsi="宋体" w:cs="宋体"/>
                <w:color w:val="000000"/>
                <w:kern w:val="0"/>
                <w:szCs w:val="21"/>
                <w:lang w:bidi="ar"/>
              </w:rPr>
              <w:t>康复护理方向</w:t>
            </w:r>
          </w:p>
        </w:tc>
        <w:tc>
          <w:tcPr>
            <w:tcW w:w="1844" w:type="dxa"/>
            <w:vMerge w:val="continue"/>
          </w:tcPr>
          <w:p>
            <w:pPr>
              <w:jc w:val="center"/>
              <w:rPr>
                <w:rFonts w:ascii="宋体" w:hAnsi="宋体"/>
              </w:rPr>
            </w:pPr>
          </w:p>
        </w:tc>
        <w:tc>
          <w:tcPr>
            <w:tcW w:w="3241" w:type="dxa"/>
            <w:vAlign w:val="center"/>
          </w:tcPr>
          <w:p>
            <w:pPr>
              <w:widowControl/>
              <w:textAlignment w:val="center"/>
              <w:rPr>
                <w:rFonts w:ascii="宋体" w:hAnsi="宋体"/>
              </w:rPr>
            </w:pPr>
            <w:r>
              <w:rPr>
                <w:rFonts w:hint="eastAsia" w:ascii="宋体" w:hAnsi="宋体" w:cs="宋体"/>
                <w:color w:val="000000"/>
                <w:kern w:val="0"/>
                <w:szCs w:val="21"/>
                <w:lang w:bidi="ar"/>
              </w:rPr>
              <w:t>老年福利院、社区康复中心等</w:t>
            </w:r>
          </w:p>
        </w:tc>
        <w:tc>
          <w:tcPr>
            <w:tcW w:w="1170" w:type="dxa"/>
            <w:vMerge w:val="continue"/>
            <w:vAlign w:val="center"/>
          </w:tcPr>
          <w:p>
            <w:pPr>
              <w:jc w:val="center"/>
              <w:rPr>
                <w:rFonts w:ascii="宋体" w:hAnsi="宋体"/>
                <w:sz w:val="24"/>
              </w:rPr>
            </w:pPr>
          </w:p>
        </w:tc>
      </w:tr>
    </w:tbl>
    <w:p>
      <w:pPr>
        <w:spacing w:line="440" w:lineRule="exact"/>
        <w:ind w:firstLine="482" w:firstLineChars="200"/>
        <w:rPr>
          <w:rFonts w:ascii="宋体" w:hAnsi="宋体"/>
          <w:sz w:val="24"/>
        </w:rPr>
      </w:pPr>
      <w:r>
        <w:rPr>
          <w:rFonts w:hint="eastAsia" w:ascii="宋体" w:hAnsi="宋体"/>
          <w:b/>
          <w:bCs/>
          <w:sz w:val="24"/>
        </w:rPr>
        <w:t>一、培养目标与规格</w:t>
      </w:r>
    </w:p>
    <w:p>
      <w:pPr>
        <w:snapToGrid w:val="0"/>
        <w:spacing w:line="440" w:lineRule="exact"/>
        <w:ind w:firstLine="475" w:firstLineChars="198"/>
        <w:rPr>
          <w:rFonts w:ascii="宋体" w:hAnsi="宋体" w:cs="宋体"/>
          <w:sz w:val="24"/>
        </w:rPr>
      </w:pPr>
      <w:r>
        <w:rPr>
          <w:rFonts w:hint="eastAsia" w:ascii="宋体" w:hAnsi="宋体" w:cs="宋体"/>
          <w:sz w:val="24"/>
        </w:rPr>
        <w:t>1.培养目标</w:t>
      </w:r>
    </w:p>
    <w:p>
      <w:pPr>
        <w:snapToGrid w:val="0"/>
        <w:spacing w:line="440" w:lineRule="exact"/>
        <w:ind w:firstLine="475" w:firstLineChars="198"/>
        <w:rPr>
          <w:rFonts w:ascii="宋体" w:hAnsi="宋体" w:cs="宋体"/>
          <w:sz w:val="24"/>
        </w:rPr>
      </w:pPr>
      <w:r>
        <w:rPr>
          <w:rFonts w:hint="eastAsia" w:cs="宋体"/>
          <w:sz w:val="24"/>
          <w:lang w:bidi="ar"/>
        </w:rPr>
        <w:t>本专业培养理想信念坚定，德、智、体、美、劳全面发展，具有一定的科学文化水平，良好的人文素养、职业道德和创新意识，精益求精的工匠精神，较强的就业能力和可持续发展的能力；掌握本专业知识和技术技能，面向卫生行业的内科护士、儿科护士、急诊护士、外科护士、社区护士等护理岗位，能够从事临床护理、社区护理、健康保健等工作的高素质技术技能人才。</w:t>
      </w:r>
    </w:p>
    <w:p>
      <w:pPr>
        <w:snapToGrid w:val="0"/>
        <w:spacing w:line="440" w:lineRule="exact"/>
        <w:ind w:firstLine="475" w:firstLineChars="198"/>
        <w:rPr>
          <w:rFonts w:ascii="宋体" w:hAnsi="宋体" w:cs="宋体"/>
          <w:sz w:val="24"/>
        </w:rPr>
      </w:pPr>
      <w:r>
        <w:rPr>
          <w:rFonts w:hint="eastAsia" w:ascii="宋体" w:hAnsi="宋体" w:cs="宋体"/>
          <w:sz w:val="24"/>
          <w:lang w:bidi="ar"/>
        </w:rPr>
        <w:t>2.培养规格</w:t>
      </w:r>
    </w:p>
    <w:p>
      <w:pPr>
        <w:snapToGrid w:val="0"/>
        <w:spacing w:line="440" w:lineRule="exact"/>
        <w:ind w:firstLine="475" w:firstLineChars="198"/>
        <w:rPr>
          <w:sz w:val="24"/>
        </w:rPr>
      </w:pPr>
      <w:r>
        <w:rPr>
          <w:rFonts w:hint="eastAsia" w:cs="宋体"/>
          <w:sz w:val="24"/>
          <w:lang w:bidi="ar"/>
        </w:rPr>
        <w:t>本专业毕业生应在素质、知识和能力方面达到以下要求。</w:t>
      </w:r>
    </w:p>
    <w:p>
      <w:pPr>
        <w:snapToGrid w:val="0"/>
        <w:spacing w:line="440" w:lineRule="exact"/>
        <w:ind w:firstLine="475" w:firstLineChars="198"/>
        <w:rPr>
          <w:rFonts w:ascii="宋体" w:hAnsi="宋体" w:cs="宋体"/>
          <w:sz w:val="24"/>
        </w:rPr>
      </w:pPr>
      <w:r>
        <w:rPr>
          <w:rFonts w:hint="eastAsia" w:ascii="宋体" w:hAnsi="宋体" w:cs="宋体"/>
          <w:sz w:val="24"/>
          <w:lang w:bidi="ar"/>
        </w:rPr>
        <w:t>素质:</w:t>
      </w:r>
    </w:p>
    <w:p>
      <w:pPr>
        <w:snapToGrid w:val="0"/>
        <w:spacing w:line="440" w:lineRule="exact"/>
        <w:ind w:firstLine="475" w:firstLineChars="198"/>
        <w:rPr>
          <w:sz w:val="24"/>
        </w:rPr>
      </w:pPr>
      <w:r>
        <w:rPr>
          <w:rFonts w:hint="eastAsia" w:cs="宋体"/>
          <w:sz w:val="24"/>
          <w:lang w:bidi="ar"/>
        </w:rPr>
        <w:t>（</w:t>
      </w:r>
      <w:r>
        <w:rPr>
          <w:sz w:val="24"/>
          <w:lang w:bidi="ar"/>
        </w:rPr>
        <w:t>1</w:t>
      </w:r>
      <w:r>
        <w:rPr>
          <w:rFonts w:hint="eastAsia" w:cs="宋体"/>
          <w:sz w:val="24"/>
          <w:lang w:bidi="ar"/>
        </w:rPr>
        <w:t>）坚决拥护中国共产党领导和我国社会主义制度</w:t>
      </w:r>
      <w:r>
        <w:rPr>
          <w:sz w:val="24"/>
          <w:lang w:bidi="ar"/>
        </w:rPr>
        <w:t>,</w:t>
      </w:r>
      <w:r>
        <w:rPr>
          <w:rFonts w:hint="eastAsia" w:cs="宋体"/>
          <w:sz w:val="24"/>
          <w:lang w:bidi="ar"/>
        </w:rPr>
        <w:t>在习近平新时代中国特色社会主义思想指引下，践行社会主义核心价值观，具有深厚的爱国情感和中华民族自豪感；</w:t>
      </w:r>
    </w:p>
    <w:p>
      <w:pPr>
        <w:snapToGrid w:val="0"/>
        <w:spacing w:line="440" w:lineRule="exact"/>
        <w:ind w:firstLine="475" w:firstLineChars="198"/>
        <w:rPr>
          <w:sz w:val="24"/>
        </w:rPr>
      </w:pPr>
      <w:r>
        <w:rPr>
          <w:rFonts w:hint="eastAsia" w:cs="宋体"/>
          <w:sz w:val="24"/>
          <w:lang w:bidi="ar"/>
        </w:rPr>
        <w:t>（</w:t>
      </w:r>
      <w:r>
        <w:rPr>
          <w:sz w:val="24"/>
          <w:lang w:bidi="ar"/>
        </w:rPr>
        <w:t>2</w:t>
      </w:r>
      <w:r>
        <w:rPr>
          <w:rFonts w:hint="eastAsia" w:cs="宋体"/>
          <w:sz w:val="24"/>
          <w:lang w:bidi="ar"/>
        </w:rPr>
        <w:t>）崇尚宪法、遵法守纪、崇德向善、诚实守信、尊重生命、热爱劳动，履行道德准则和行为规范，具有社会责任感和社会参与意识，遵从以人为本的服务理念；</w:t>
      </w:r>
    </w:p>
    <w:p>
      <w:pPr>
        <w:snapToGrid w:val="0"/>
        <w:spacing w:line="440" w:lineRule="exact"/>
        <w:ind w:firstLine="475" w:firstLineChars="198"/>
        <w:rPr>
          <w:sz w:val="24"/>
        </w:rPr>
      </w:pPr>
      <w:r>
        <w:rPr>
          <w:rFonts w:hint="eastAsia" w:cs="宋体"/>
          <w:sz w:val="24"/>
          <w:lang w:bidi="ar"/>
        </w:rPr>
        <w:t>（</w:t>
      </w:r>
      <w:r>
        <w:rPr>
          <w:sz w:val="24"/>
          <w:lang w:bidi="ar"/>
        </w:rPr>
        <w:t>3</w:t>
      </w:r>
      <w:r>
        <w:rPr>
          <w:rFonts w:hint="eastAsia" w:cs="宋体"/>
          <w:sz w:val="24"/>
          <w:lang w:bidi="ar"/>
        </w:rPr>
        <w:t>）具有质量意识、环保意识、安全意识、信息素养、工匠精神、创新思维；</w:t>
      </w:r>
    </w:p>
    <w:p>
      <w:pPr>
        <w:snapToGrid w:val="0"/>
        <w:spacing w:line="440" w:lineRule="exact"/>
        <w:ind w:firstLine="475" w:firstLineChars="198"/>
        <w:rPr>
          <w:sz w:val="24"/>
        </w:rPr>
      </w:pPr>
      <w:r>
        <w:rPr>
          <w:rFonts w:hint="eastAsia" w:cs="宋体"/>
          <w:sz w:val="24"/>
          <w:lang w:bidi="ar"/>
        </w:rPr>
        <w:t>（</w:t>
      </w:r>
      <w:r>
        <w:rPr>
          <w:sz w:val="24"/>
          <w:lang w:bidi="ar"/>
        </w:rPr>
        <w:t>4</w:t>
      </w:r>
      <w:r>
        <w:rPr>
          <w:rFonts w:hint="eastAsia" w:cs="宋体"/>
          <w:sz w:val="24"/>
          <w:lang w:bidi="ar"/>
        </w:rPr>
        <w:t>）勇于奋斗、乐观向上，具有自我管理能力、职业生涯规划的意识，有较强的集体意识和团队合作精神；</w:t>
      </w:r>
    </w:p>
    <w:p>
      <w:pPr>
        <w:snapToGrid w:val="0"/>
        <w:spacing w:line="440" w:lineRule="exact"/>
        <w:ind w:firstLine="475" w:firstLineChars="198"/>
        <w:rPr>
          <w:sz w:val="24"/>
        </w:rPr>
      </w:pPr>
      <w:r>
        <w:rPr>
          <w:rFonts w:hint="eastAsia" w:cs="宋体"/>
          <w:sz w:val="24"/>
          <w:lang w:bidi="ar"/>
        </w:rPr>
        <w:t>（</w:t>
      </w:r>
      <w:r>
        <w:rPr>
          <w:sz w:val="24"/>
          <w:lang w:bidi="ar"/>
        </w:rPr>
        <w:t>5</w:t>
      </w:r>
      <w:r>
        <w:rPr>
          <w:rFonts w:hint="eastAsia" w:cs="宋体"/>
          <w:sz w:val="24"/>
          <w:lang w:bidi="ar"/>
        </w:rPr>
        <w:t>）具有健康的体魄、心理和健全的人格，掌握基本运动知识和一两项运动技能，养成良好的健身与卫生习惯，良好的行为习惯；</w:t>
      </w:r>
    </w:p>
    <w:p>
      <w:pPr>
        <w:snapToGrid w:val="0"/>
        <w:spacing w:line="440" w:lineRule="exact"/>
        <w:ind w:firstLine="475" w:firstLineChars="198"/>
        <w:rPr>
          <w:rFonts w:ascii="宋体" w:hAnsi="宋体" w:cs="宋体"/>
          <w:sz w:val="24"/>
        </w:rPr>
      </w:pPr>
      <w:r>
        <w:rPr>
          <w:rFonts w:hint="eastAsia" w:cs="宋体"/>
          <w:sz w:val="24"/>
          <w:lang w:bidi="ar"/>
        </w:rPr>
        <w:t>（</w:t>
      </w:r>
      <w:r>
        <w:rPr>
          <w:sz w:val="24"/>
          <w:lang w:bidi="ar"/>
        </w:rPr>
        <w:t>6</w:t>
      </w:r>
      <w:r>
        <w:rPr>
          <w:rFonts w:hint="eastAsia" w:cs="宋体"/>
          <w:sz w:val="24"/>
          <w:lang w:bidi="ar"/>
        </w:rPr>
        <w:t>）具有一定的审美和人文素养，能够形成一两项艺术特长或爱好。</w:t>
      </w:r>
    </w:p>
    <w:p>
      <w:pPr>
        <w:snapToGrid w:val="0"/>
        <w:spacing w:line="440" w:lineRule="exact"/>
        <w:ind w:firstLine="475" w:firstLineChars="198"/>
        <w:rPr>
          <w:rFonts w:ascii="宋体" w:hAnsi="宋体" w:cs="宋体"/>
          <w:sz w:val="24"/>
        </w:rPr>
      </w:pPr>
      <w:r>
        <w:rPr>
          <w:rFonts w:hint="eastAsia" w:ascii="宋体" w:hAnsi="宋体" w:cs="宋体"/>
          <w:sz w:val="24"/>
          <w:lang w:bidi="ar"/>
        </w:rPr>
        <w:t>知识:</w:t>
      </w:r>
    </w:p>
    <w:p>
      <w:pPr>
        <w:snapToGrid w:val="0"/>
        <w:spacing w:line="440" w:lineRule="exact"/>
        <w:ind w:firstLine="475" w:firstLineChars="198"/>
        <w:rPr>
          <w:sz w:val="24"/>
        </w:rPr>
      </w:pPr>
      <w:r>
        <w:rPr>
          <w:rFonts w:hint="eastAsia" w:cs="宋体"/>
          <w:sz w:val="24"/>
          <w:lang w:bidi="ar"/>
        </w:rPr>
        <w:t>（</w:t>
      </w:r>
      <w:r>
        <w:rPr>
          <w:sz w:val="24"/>
          <w:lang w:bidi="ar"/>
        </w:rPr>
        <w:t>1</w:t>
      </w:r>
      <w:r>
        <w:rPr>
          <w:rFonts w:hint="eastAsia" w:cs="宋体"/>
          <w:sz w:val="24"/>
          <w:lang w:bidi="ar"/>
        </w:rPr>
        <w:t>）掌握必备的思想政治理论、科学文化基础知识和中华优秀传统文化知识；</w:t>
      </w:r>
    </w:p>
    <w:p>
      <w:pPr>
        <w:snapToGrid w:val="0"/>
        <w:spacing w:line="440" w:lineRule="exact"/>
        <w:ind w:firstLine="475" w:firstLineChars="198"/>
        <w:rPr>
          <w:sz w:val="24"/>
        </w:rPr>
      </w:pPr>
      <w:r>
        <w:rPr>
          <w:rFonts w:hint="eastAsia" w:cs="宋体"/>
          <w:sz w:val="24"/>
          <w:lang w:bidi="ar"/>
        </w:rPr>
        <w:t>（</w:t>
      </w:r>
      <w:r>
        <w:rPr>
          <w:sz w:val="24"/>
          <w:lang w:bidi="ar"/>
        </w:rPr>
        <w:t>2</w:t>
      </w:r>
      <w:r>
        <w:rPr>
          <w:rFonts w:hint="eastAsia" w:cs="宋体"/>
          <w:sz w:val="24"/>
          <w:lang w:bidi="ar"/>
        </w:rPr>
        <w:t>）熟悉与本专业相关的法律法规以及环境保护、安全消防等相关知识；</w:t>
      </w:r>
    </w:p>
    <w:p>
      <w:pPr>
        <w:snapToGrid w:val="0"/>
        <w:spacing w:line="440" w:lineRule="exact"/>
        <w:ind w:firstLine="475" w:firstLineChars="198"/>
        <w:rPr>
          <w:sz w:val="24"/>
        </w:rPr>
      </w:pPr>
      <w:r>
        <w:rPr>
          <w:rFonts w:hint="eastAsia" w:cs="宋体"/>
          <w:sz w:val="24"/>
          <w:lang w:bidi="ar"/>
        </w:rPr>
        <w:t>（</w:t>
      </w:r>
      <w:r>
        <w:rPr>
          <w:sz w:val="24"/>
          <w:lang w:bidi="ar"/>
        </w:rPr>
        <w:t>3</w:t>
      </w:r>
      <w:r>
        <w:rPr>
          <w:rFonts w:hint="eastAsia" w:cs="宋体"/>
          <w:sz w:val="24"/>
          <w:lang w:bidi="ar"/>
        </w:rPr>
        <w:t>）掌握护理基本理论和基本知识，以及一定的基础医学和临床医学知识；</w:t>
      </w:r>
    </w:p>
    <w:p>
      <w:pPr>
        <w:snapToGrid w:val="0"/>
        <w:spacing w:line="440" w:lineRule="exact"/>
        <w:ind w:firstLine="475" w:firstLineChars="198"/>
        <w:rPr>
          <w:sz w:val="24"/>
        </w:rPr>
      </w:pPr>
      <w:r>
        <w:rPr>
          <w:rFonts w:hint="eastAsia" w:cs="宋体"/>
          <w:sz w:val="24"/>
          <w:lang w:bidi="ar"/>
        </w:rPr>
        <w:t>（</w:t>
      </w:r>
      <w:r>
        <w:rPr>
          <w:sz w:val="24"/>
          <w:lang w:bidi="ar"/>
        </w:rPr>
        <w:t>4</w:t>
      </w:r>
      <w:r>
        <w:rPr>
          <w:rFonts w:hint="eastAsia" w:cs="宋体"/>
          <w:sz w:val="24"/>
          <w:lang w:bidi="ar"/>
        </w:rPr>
        <w:t>）掌握生命各阶段各系统常见疾病的概念、病因、发病机理、健康史、身心状况、辅助检查、治疗原则、护理诊断、护理措施及护理评价相关知识；</w:t>
      </w:r>
    </w:p>
    <w:p>
      <w:pPr>
        <w:snapToGrid w:val="0"/>
        <w:spacing w:line="440" w:lineRule="exact"/>
        <w:ind w:firstLine="475" w:firstLineChars="198"/>
        <w:rPr>
          <w:rFonts w:ascii="宋体" w:hAnsi="宋体" w:cs="宋体"/>
          <w:sz w:val="24"/>
        </w:rPr>
      </w:pPr>
      <w:r>
        <w:rPr>
          <w:rFonts w:hint="eastAsia" w:cs="宋体"/>
          <w:sz w:val="24"/>
          <w:lang w:bidi="ar"/>
        </w:rPr>
        <w:t>（</w:t>
      </w:r>
      <w:r>
        <w:rPr>
          <w:sz w:val="24"/>
          <w:lang w:bidi="ar"/>
        </w:rPr>
        <w:t>5</w:t>
      </w:r>
      <w:r>
        <w:rPr>
          <w:rFonts w:hint="eastAsia" w:cs="宋体"/>
          <w:sz w:val="24"/>
          <w:lang w:bidi="ar"/>
        </w:rPr>
        <w:t>）掌握生命各阶段各系统常见疾病的护理教育及健康促进相关知识；</w:t>
      </w:r>
    </w:p>
    <w:p>
      <w:pPr>
        <w:snapToGrid w:val="0"/>
        <w:spacing w:line="440" w:lineRule="exact"/>
        <w:ind w:firstLine="475" w:firstLineChars="198"/>
        <w:rPr>
          <w:rFonts w:ascii="宋体" w:hAnsi="宋体" w:cs="宋体"/>
          <w:sz w:val="24"/>
        </w:rPr>
      </w:pPr>
      <w:r>
        <w:rPr>
          <w:rFonts w:hint="eastAsia" w:cs="宋体"/>
          <w:sz w:val="24"/>
          <w:lang w:bidi="ar"/>
        </w:rPr>
        <w:t>（</w:t>
      </w:r>
      <w:r>
        <w:rPr>
          <w:sz w:val="24"/>
          <w:lang w:bidi="ar"/>
        </w:rPr>
        <w:t>6</w:t>
      </w:r>
      <w:r>
        <w:rPr>
          <w:rFonts w:hint="eastAsia" w:cs="宋体"/>
          <w:sz w:val="24"/>
          <w:lang w:bidi="ar"/>
        </w:rPr>
        <w:t>）熟悉社区传染病防治以及突发公共卫生事件应对知识；</w:t>
      </w:r>
    </w:p>
    <w:p>
      <w:pPr>
        <w:snapToGrid w:val="0"/>
        <w:spacing w:line="440" w:lineRule="exact"/>
        <w:ind w:firstLine="475" w:firstLineChars="198"/>
        <w:rPr>
          <w:rFonts w:ascii="宋体" w:hAnsi="宋体" w:cs="宋体"/>
          <w:sz w:val="24"/>
        </w:rPr>
      </w:pPr>
      <w:r>
        <w:rPr>
          <w:rFonts w:hint="eastAsia" w:cs="宋体"/>
          <w:sz w:val="24"/>
          <w:lang w:bidi="ar"/>
        </w:rPr>
        <w:t>（</w:t>
      </w:r>
      <w:r>
        <w:rPr>
          <w:sz w:val="24"/>
          <w:lang w:bidi="ar"/>
        </w:rPr>
        <w:t>7</w:t>
      </w:r>
      <w:r>
        <w:rPr>
          <w:rFonts w:hint="eastAsia" w:cs="宋体"/>
          <w:sz w:val="24"/>
          <w:lang w:bidi="ar"/>
        </w:rPr>
        <w:t>）了解康复和精神科等专科护理知识。</w:t>
      </w:r>
    </w:p>
    <w:p>
      <w:pPr>
        <w:snapToGrid w:val="0"/>
        <w:spacing w:line="440" w:lineRule="exact"/>
        <w:ind w:firstLine="475" w:firstLineChars="198"/>
        <w:rPr>
          <w:sz w:val="24"/>
        </w:rPr>
      </w:pPr>
      <w:r>
        <w:rPr>
          <w:rFonts w:hint="eastAsia" w:ascii="宋体" w:hAnsi="宋体" w:cs="宋体"/>
          <w:sz w:val="24"/>
          <w:lang w:bidi="ar"/>
        </w:rPr>
        <w:t>能力:</w:t>
      </w:r>
      <w:r>
        <w:rPr>
          <w:sz w:val="24"/>
          <w:lang w:bidi="ar"/>
        </w:rPr>
        <w:t xml:space="preserve"> </w:t>
      </w:r>
    </w:p>
    <w:p>
      <w:pPr>
        <w:snapToGrid w:val="0"/>
        <w:spacing w:line="440" w:lineRule="exact"/>
        <w:ind w:firstLine="475" w:firstLineChars="198"/>
        <w:rPr>
          <w:sz w:val="24"/>
        </w:rPr>
      </w:pPr>
      <w:r>
        <w:rPr>
          <w:rFonts w:hint="eastAsia" w:cs="宋体"/>
          <w:sz w:val="24"/>
          <w:lang w:bidi="ar"/>
        </w:rPr>
        <w:t>（</w:t>
      </w:r>
      <w:r>
        <w:rPr>
          <w:sz w:val="24"/>
          <w:lang w:bidi="ar"/>
        </w:rPr>
        <w:t>1</w:t>
      </w:r>
      <w:r>
        <w:rPr>
          <w:rFonts w:hint="eastAsia" w:cs="宋体"/>
          <w:sz w:val="24"/>
          <w:lang w:bidi="ar"/>
        </w:rPr>
        <w:t>）依据护理程序工作，满足护理对象的身体、心理、社会、文化等方面的需要，以恢复和增进健康为目标提供整体护理的能力；</w:t>
      </w:r>
    </w:p>
    <w:p>
      <w:pPr>
        <w:snapToGrid w:val="0"/>
        <w:spacing w:line="440" w:lineRule="exact"/>
        <w:ind w:firstLine="475" w:firstLineChars="198"/>
        <w:rPr>
          <w:sz w:val="24"/>
        </w:rPr>
      </w:pPr>
      <w:r>
        <w:rPr>
          <w:rFonts w:hint="eastAsia" w:cs="宋体"/>
          <w:sz w:val="24"/>
          <w:lang w:bidi="ar"/>
        </w:rPr>
        <w:t>（</w:t>
      </w:r>
      <w:r>
        <w:rPr>
          <w:sz w:val="24"/>
          <w:lang w:bidi="ar"/>
        </w:rPr>
        <w:t>2</w:t>
      </w:r>
      <w:r>
        <w:rPr>
          <w:rFonts w:hint="eastAsia" w:cs="宋体"/>
          <w:sz w:val="24"/>
          <w:lang w:bidi="ar"/>
        </w:rPr>
        <w:t>）具有对常见疾病、多发病的病情变化、治疗效果及常用药物疗效、不良反应的观察力和处理能力；</w:t>
      </w:r>
    </w:p>
    <w:p>
      <w:pPr>
        <w:snapToGrid w:val="0"/>
        <w:spacing w:line="440" w:lineRule="exact"/>
        <w:ind w:left="416" w:leftChars="198"/>
        <w:rPr>
          <w:sz w:val="24"/>
        </w:rPr>
      </w:pPr>
      <w:r>
        <w:rPr>
          <w:rFonts w:hint="eastAsia" w:cs="宋体"/>
          <w:sz w:val="24"/>
          <w:lang w:bidi="ar"/>
        </w:rPr>
        <w:t>（</w:t>
      </w:r>
      <w:r>
        <w:rPr>
          <w:sz w:val="24"/>
          <w:lang w:bidi="ar"/>
        </w:rPr>
        <w:t>3</w:t>
      </w:r>
      <w:r>
        <w:rPr>
          <w:rFonts w:hint="eastAsia" w:cs="宋体"/>
          <w:sz w:val="24"/>
          <w:lang w:bidi="ar"/>
        </w:rPr>
        <w:t>）具有探究学习、终身学习、适应临床工作需要学会分析问题，并具有较强的解决临床实际问题的临床综合评判思维能力；</w:t>
      </w:r>
    </w:p>
    <w:p>
      <w:pPr>
        <w:snapToGrid w:val="0"/>
        <w:spacing w:line="440" w:lineRule="exact"/>
        <w:ind w:left="416" w:leftChars="198"/>
        <w:rPr>
          <w:sz w:val="24"/>
        </w:rPr>
      </w:pPr>
      <w:r>
        <w:rPr>
          <w:rFonts w:hint="eastAsia" w:cs="宋体"/>
          <w:sz w:val="24"/>
          <w:lang w:bidi="ar"/>
        </w:rPr>
        <w:t>（</w:t>
      </w:r>
      <w:r>
        <w:rPr>
          <w:sz w:val="24"/>
          <w:lang w:bidi="ar"/>
        </w:rPr>
        <w:t>4</w:t>
      </w:r>
      <w:r>
        <w:rPr>
          <w:rFonts w:hint="eastAsia" w:cs="宋体"/>
          <w:sz w:val="24"/>
          <w:lang w:bidi="ar"/>
        </w:rPr>
        <w:t>）具有良好的语言、文字表达能力和人际沟通能力；</w:t>
      </w:r>
    </w:p>
    <w:p>
      <w:pPr>
        <w:snapToGrid w:val="0"/>
        <w:spacing w:line="440" w:lineRule="exact"/>
        <w:ind w:left="416" w:leftChars="198"/>
        <w:rPr>
          <w:sz w:val="24"/>
        </w:rPr>
      </w:pPr>
      <w:r>
        <w:rPr>
          <w:rFonts w:hint="eastAsia" w:cs="宋体"/>
          <w:sz w:val="24"/>
          <w:lang w:bidi="ar"/>
        </w:rPr>
        <w:t>（</w:t>
      </w:r>
      <w:r>
        <w:rPr>
          <w:sz w:val="24"/>
          <w:lang w:bidi="ar"/>
        </w:rPr>
        <w:t>5</w:t>
      </w:r>
      <w:r>
        <w:rPr>
          <w:rFonts w:hint="eastAsia" w:cs="宋体"/>
          <w:sz w:val="24"/>
          <w:lang w:bidi="ar"/>
        </w:rPr>
        <w:t>）掌握</w:t>
      </w:r>
      <w:r>
        <w:rPr>
          <w:sz w:val="24"/>
          <w:lang w:bidi="ar"/>
        </w:rPr>
        <w:t>CPR</w:t>
      </w:r>
      <w:r>
        <w:rPr>
          <w:rFonts w:hint="eastAsia" w:cs="宋体"/>
          <w:sz w:val="24"/>
          <w:lang w:bidi="ar"/>
        </w:rPr>
        <w:t>技术提高急救意识，能够规范地开展急危重症的抢救配合，具备一定的突发事件的应急救护能力；</w:t>
      </w:r>
    </w:p>
    <w:p>
      <w:pPr>
        <w:snapToGrid w:val="0"/>
        <w:spacing w:line="440" w:lineRule="exact"/>
        <w:ind w:left="416" w:leftChars="198"/>
        <w:rPr>
          <w:sz w:val="24"/>
        </w:rPr>
      </w:pPr>
      <w:r>
        <w:rPr>
          <w:rFonts w:hint="eastAsia" w:cs="宋体"/>
          <w:sz w:val="24"/>
          <w:lang w:bidi="ar"/>
        </w:rPr>
        <w:t>（</w:t>
      </w:r>
      <w:r>
        <w:rPr>
          <w:sz w:val="24"/>
          <w:lang w:bidi="ar"/>
        </w:rPr>
        <w:t>6</w:t>
      </w:r>
      <w:r>
        <w:rPr>
          <w:rFonts w:hint="eastAsia" w:cs="宋体"/>
          <w:sz w:val="24"/>
          <w:lang w:bidi="ar"/>
        </w:rPr>
        <w:t>）能够独立进行常见疾病的健康教育和卫生保健指导；</w:t>
      </w:r>
    </w:p>
    <w:p>
      <w:pPr>
        <w:snapToGrid w:val="0"/>
        <w:spacing w:line="440" w:lineRule="exact"/>
        <w:ind w:left="416" w:leftChars="198"/>
        <w:rPr>
          <w:sz w:val="24"/>
        </w:rPr>
      </w:pPr>
      <w:r>
        <w:rPr>
          <w:rFonts w:hint="eastAsia" w:cs="宋体"/>
          <w:sz w:val="24"/>
          <w:lang w:bidi="ar"/>
        </w:rPr>
        <w:t>（</w:t>
      </w:r>
      <w:r>
        <w:rPr>
          <w:sz w:val="24"/>
          <w:lang w:bidi="ar"/>
        </w:rPr>
        <w:t>7</w:t>
      </w:r>
      <w:r>
        <w:rPr>
          <w:rFonts w:hint="eastAsia" w:cs="宋体"/>
          <w:sz w:val="24"/>
          <w:lang w:bidi="ar"/>
        </w:rPr>
        <w:t>）具有完整记录护理过程的能力；</w:t>
      </w:r>
    </w:p>
    <w:p>
      <w:pPr>
        <w:snapToGrid w:val="0"/>
        <w:spacing w:line="440" w:lineRule="exact"/>
        <w:ind w:left="416" w:leftChars="198"/>
        <w:rPr>
          <w:sz w:val="24"/>
        </w:rPr>
      </w:pPr>
      <w:r>
        <w:rPr>
          <w:rFonts w:hint="eastAsia" w:cs="宋体"/>
          <w:sz w:val="24"/>
          <w:lang w:bidi="ar"/>
        </w:rPr>
        <w:t>（</w:t>
      </w:r>
      <w:r>
        <w:rPr>
          <w:sz w:val="24"/>
          <w:lang w:bidi="ar"/>
        </w:rPr>
        <w:t>8</w:t>
      </w:r>
      <w:r>
        <w:rPr>
          <w:rFonts w:hint="eastAsia" w:cs="宋体"/>
          <w:sz w:val="24"/>
          <w:lang w:bidi="ar"/>
        </w:rPr>
        <w:t>）会正确使用和维护常用仪器设备；</w:t>
      </w:r>
    </w:p>
    <w:p>
      <w:pPr>
        <w:snapToGrid w:val="0"/>
        <w:spacing w:line="440" w:lineRule="exact"/>
        <w:ind w:left="416" w:leftChars="198"/>
        <w:rPr>
          <w:rFonts w:ascii="宋体" w:hAnsi="宋体" w:cs="宋体"/>
          <w:sz w:val="24"/>
        </w:rPr>
      </w:pPr>
      <w:r>
        <w:rPr>
          <w:rFonts w:hint="eastAsia" w:cs="宋体"/>
          <w:sz w:val="24"/>
          <w:lang w:bidi="ar"/>
        </w:rPr>
        <w:t>（</w:t>
      </w:r>
      <w:r>
        <w:rPr>
          <w:sz w:val="24"/>
          <w:lang w:bidi="ar"/>
        </w:rPr>
        <w:t>9</w:t>
      </w:r>
      <w:r>
        <w:rPr>
          <w:rFonts w:hint="eastAsia" w:cs="宋体"/>
          <w:sz w:val="24"/>
          <w:lang w:bidi="ar"/>
        </w:rPr>
        <w:t>）具有一定的信息技术应用和维护能力；</w:t>
      </w:r>
    </w:p>
    <w:p>
      <w:pPr>
        <w:snapToGrid w:val="0"/>
        <w:spacing w:line="440" w:lineRule="exact"/>
        <w:ind w:firstLine="475" w:firstLineChars="198"/>
        <w:rPr>
          <w:rFonts w:ascii="宋体" w:hAnsi="宋体" w:cs="宋体"/>
          <w:sz w:val="24"/>
        </w:rPr>
      </w:pPr>
      <w:r>
        <w:rPr>
          <w:rFonts w:hint="eastAsia" w:ascii="宋体" w:hAnsi="宋体" w:cs="宋体"/>
          <w:sz w:val="24"/>
        </w:rPr>
        <w:t>二、相关职业技能证书</w:t>
      </w:r>
    </w:p>
    <w:p>
      <w:pPr>
        <w:widowControl/>
        <w:spacing w:line="440" w:lineRule="exact"/>
        <w:ind w:firstLine="480" w:firstLineChars="200"/>
        <w:jc w:val="left"/>
        <w:rPr>
          <w:rFonts w:ascii="宋体" w:hAnsi="宋体"/>
          <w:kern w:val="0"/>
          <w:sz w:val="24"/>
        </w:rPr>
      </w:pPr>
      <w:r>
        <w:rPr>
          <w:rFonts w:hint="eastAsia" w:ascii="宋体" w:hAnsi="宋体"/>
          <w:kern w:val="0"/>
          <w:sz w:val="24"/>
        </w:rPr>
        <w:t>（一）基本技能证书</w:t>
      </w:r>
    </w:p>
    <w:p>
      <w:pPr>
        <w:widowControl/>
        <w:spacing w:line="440" w:lineRule="exact"/>
        <w:ind w:firstLine="480" w:firstLineChars="200"/>
        <w:jc w:val="left"/>
        <w:rPr>
          <w:rFonts w:ascii="宋体" w:hAnsi="宋体"/>
          <w:kern w:val="0"/>
          <w:sz w:val="24"/>
        </w:rPr>
      </w:pPr>
      <w:r>
        <w:rPr>
          <w:rFonts w:hint="eastAsia" w:ascii="宋体" w:hAnsi="宋体"/>
          <w:kern w:val="0"/>
          <w:sz w:val="24"/>
        </w:rPr>
        <w:t>1. 高等学校英语应用能力A级或B级证书。</w:t>
      </w:r>
    </w:p>
    <w:p>
      <w:pPr>
        <w:widowControl/>
        <w:spacing w:line="440" w:lineRule="exact"/>
        <w:ind w:firstLine="480" w:firstLineChars="200"/>
        <w:jc w:val="left"/>
        <w:rPr>
          <w:rFonts w:ascii="宋体" w:hAnsi="宋体"/>
          <w:kern w:val="0"/>
          <w:sz w:val="24"/>
        </w:rPr>
      </w:pPr>
      <w:r>
        <w:rPr>
          <w:rFonts w:hint="eastAsia" w:ascii="宋体" w:hAnsi="宋体"/>
          <w:kern w:val="0"/>
          <w:sz w:val="24"/>
        </w:rPr>
        <w:t>2. 全国计算机应用等级考试证书。</w:t>
      </w:r>
    </w:p>
    <w:p>
      <w:pPr>
        <w:widowControl/>
        <w:spacing w:line="440" w:lineRule="exact"/>
        <w:ind w:firstLine="480" w:firstLineChars="200"/>
        <w:jc w:val="left"/>
        <w:rPr>
          <w:rFonts w:ascii="宋体" w:hAnsi="宋体"/>
          <w:kern w:val="0"/>
          <w:sz w:val="24"/>
        </w:rPr>
      </w:pPr>
      <w:r>
        <w:rPr>
          <w:rFonts w:hint="eastAsia" w:ascii="宋体" w:hAnsi="宋体"/>
          <w:kern w:val="0"/>
          <w:sz w:val="24"/>
        </w:rPr>
        <w:t>（二）职业资格证书</w:t>
      </w:r>
    </w:p>
    <w:p>
      <w:pPr>
        <w:snapToGrid w:val="0"/>
        <w:spacing w:line="440" w:lineRule="exact"/>
        <w:ind w:firstLine="475" w:firstLineChars="198"/>
        <w:rPr>
          <w:rFonts w:ascii="宋体" w:hAnsi="宋体" w:cs="宋体"/>
          <w:sz w:val="24"/>
        </w:rPr>
      </w:pPr>
      <w:r>
        <w:rPr>
          <w:rFonts w:hint="eastAsia" w:ascii="宋体" w:hAnsi="宋体" w:cs="宋体"/>
          <w:sz w:val="24"/>
        </w:rPr>
        <w:t>如表2毕业生需要获取的专业核心技能等级证书，以及拓展职业技能职业证书，增强就业竞争力。</w:t>
      </w:r>
    </w:p>
    <w:p>
      <w:pPr>
        <w:spacing w:line="440" w:lineRule="exact"/>
        <w:jc w:val="center"/>
        <w:rPr>
          <w:rFonts w:ascii="宋体" w:hAnsi="宋体"/>
          <w:b/>
          <w:sz w:val="24"/>
        </w:rPr>
      </w:pPr>
      <w:r>
        <w:rPr>
          <w:rFonts w:hint="eastAsia" w:ascii="宋体" w:hAnsi="宋体"/>
          <w:b/>
          <w:sz w:val="24"/>
        </w:rPr>
        <w:t>表2职业技能资格证书</w:t>
      </w:r>
    </w:p>
    <w:tbl>
      <w:tblPr>
        <w:tblStyle w:val="3"/>
        <w:tblW w:w="9000" w:type="dxa"/>
        <w:tblInd w:w="0" w:type="dxa"/>
        <w:tblLayout w:type="autofit"/>
        <w:tblCellMar>
          <w:top w:w="0" w:type="dxa"/>
          <w:left w:w="0" w:type="dxa"/>
          <w:bottom w:w="0" w:type="dxa"/>
          <w:right w:w="0" w:type="dxa"/>
        </w:tblCellMar>
      </w:tblPr>
      <w:tblGrid>
        <w:gridCol w:w="820"/>
        <w:gridCol w:w="2080"/>
        <w:gridCol w:w="1180"/>
        <w:gridCol w:w="2090"/>
        <w:gridCol w:w="2830"/>
      </w:tblGrid>
      <w:tr>
        <w:tblPrEx>
          <w:tblCellMar>
            <w:top w:w="0" w:type="dxa"/>
            <w:left w:w="0" w:type="dxa"/>
            <w:bottom w:w="0" w:type="dxa"/>
            <w:right w:w="0" w:type="dxa"/>
          </w:tblCellMar>
        </w:tblPrEx>
        <w:trPr>
          <w:trHeight w:val="315" w:hRule="atLeast"/>
        </w:trPr>
        <w:tc>
          <w:tcPr>
            <w:tcW w:w="820"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序号</w:t>
            </w:r>
          </w:p>
        </w:tc>
        <w:tc>
          <w:tcPr>
            <w:tcW w:w="2080"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证书名称</w:t>
            </w:r>
          </w:p>
        </w:tc>
        <w:tc>
          <w:tcPr>
            <w:tcW w:w="1180"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等级</w:t>
            </w:r>
          </w:p>
        </w:tc>
        <w:tc>
          <w:tcPr>
            <w:tcW w:w="2090"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取证时间安排</w:t>
            </w:r>
          </w:p>
        </w:tc>
        <w:tc>
          <w:tcPr>
            <w:tcW w:w="2830"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证书颁发机构</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护士执业资格证书</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初级</w:t>
            </w: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第六学期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广东省卫生健康委员会</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育婴员</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中级</w:t>
            </w: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第四学期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广东省人力资源和社会保障厅</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3</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护理员</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中级</w:t>
            </w: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第四学期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广东省人力资源和社会保障厅</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4</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养老护理员</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中级</w:t>
            </w: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第四学期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广东省人力资源和社会保障厅</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5</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催乳师</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初级</w:t>
            </w: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第四学期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广东省人力资源和社会保障厅认可培训机构</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6</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红十字会救护证</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Cs w:val="21"/>
              </w:rPr>
            </w:pP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第四学期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红十字会</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7</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全国医护英语综合等级证</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中级</w:t>
            </w: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第二学期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教育部考试中心和国家护理人才国际化开发与管理委员会</w:t>
            </w:r>
          </w:p>
        </w:tc>
      </w:tr>
      <w:tr>
        <w:tblPrEx>
          <w:tblCellMar>
            <w:top w:w="0" w:type="dxa"/>
            <w:left w:w="0" w:type="dxa"/>
            <w:bottom w:w="0" w:type="dxa"/>
            <w:right w:w="0" w:type="dxa"/>
          </w:tblCellMar>
        </w:tblPrEx>
        <w:trPr>
          <w:trHeight w:val="720" w:hRule="atLeast"/>
        </w:trPr>
        <w:tc>
          <w:tcPr>
            <w:tcW w:w="82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8</w:t>
            </w:r>
          </w:p>
        </w:tc>
        <w:tc>
          <w:tcPr>
            <w:tcW w:w="20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保育员</w:t>
            </w:r>
          </w:p>
        </w:tc>
        <w:tc>
          <w:tcPr>
            <w:tcW w:w="11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Cs w:val="21"/>
              </w:rPr>
            </w:pPr>
          </w:p>
        </w:tc>
        <w:tc>
          <w:tcPr>
            <w:tcW w:w="209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第四学期</w:t>
            </w:r>
          </w:p>
        </w:tc>
        <w:tc>
          <w:tcPr>
            <w:tcW w:w="283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广东省人力资源和社会保障厅</w:t>
            </w:r>
          </w:p>
        </w:tc>
      </w:tr>
    </w:tbl>
    <w:p>
      <w:pPr>
        <w:spacing w:line="440" w:lineRule="exact"/>
        <w:jc w:val="center"/>
        <w:rPr>
          <w:rFonts w:ascii="宋体" w:hAnsi="宋体"/>
          <w:b/>
          <w:sz w:val="24"/>
        </w:rPr>
      </w:pPr>
    </w:p>
    <w:p>
      <w:pPr>
        <w:spacing w:line="440" w:lineRule="exact"/>
        <w:jc w:val="center"/>
        <w:rPr>
          <w:rFonts w:ascii="宋体" w:hAnsi="宋体"/>
          <w:b/>
          <w:sz w:val="24"/>
        </w:rPr>
      </w:pPr>
    </w:p>
    <w:p>
      <w:pPr>
        <w:spacing w:line="440" w:lineRule="exact"/>
        <w:ind w:firstLine="602" w:firstLineChars="250"/>
        <w:rPr>
          <w:rFonts w:ascii="宋体" w:hAnsi="宋体"/>
          <w:sz w:val="24"/>
        </w:rPr>
      </w:pPr>
      <w:r>
        <w:rPr>
          <w:rFonts w:hint="eastAsia" w:ascii="宋体" w:hAnsi="宋体"/>
          <w:b/>
          <w:bCs/>
          <w:sz w:val="24"/>
        </w:rPr>
        <w:t>三、核心课程</w:t>
      </w:r>
    </w:p>
    <w:p>
      <w:pPr>
        <w:spacing w:line="400" w:lineRule="exact"/>
        <w:ind w:firstLine="480" w:firstLineChars="200"/>
        <w:rPr>
          <w:rFonts w:ascii="宋体" w:hAnsi="宋体"/>
          <w:sz w:val="24"/>
        </w:rPr>
      </w:pPr>
      <w:r>
        <w:rPr>
          <w:rFonts w:hint="eastAsia" w:ascii="宋体" w:hAnsi="宋体"/>
          <w:sz w:val="24"/>
        </w:rPr>
        <w:t xml:space="preserve">1. </w:t>
      </w:r>
      <w:r>
        <w:rPr>
          <w:rFonts w:hint="eastAsia" w:ascii="宋体" w:hAnsi="宋体" w:cs="宋体"/>
          <w:sz w:val="24"/>
        </w:rPr>
        <w:t>护理学基础</w:t>
      </w:r>
    </w:p>
    <w:p>
      <w:pPr>
        <w:spacing w:line="400" w:lineRule="exact"/>
        <w:rPr>
          <w:sz w:val="24"/>
        </w:rPr>
      </w:pPr>
      <w:r>
        <w:rPr>
          <w:rFonts w:hint="eastAsia" w:ascii="宋体" w:hAnsi="宋体"/>
          <w:sz w:val="24"/>
        </w:rPr>
        <w:t xml:space="preserve"> </w:t>
      </w:r>
      <w:r>
        <w:rPr>
          <w:rFonts w:ascii="宋体" w:hAnsi="宋体"/>
          <w:sz w:val="24"/>
        </w:rPr>
        <w:t xml:space="preserve"> </w:t>
      </w:r>
      <w:r>
        <w:rPr>
          <w:rFonts w:hint="eastAsia" w:ascii="宋体" w:hAnsi="宋体"/>
          <w:sz w:val="24"/>
        </w:rPr>
        <w:t xml:space="preserve"> 本课程主要介绍</w:t>
      </w:r>
      <w:r>
        <w:rPr>
          <w:sz w:val="24"/>
        </w:rPr>
        <w:t>医院和住院环境、入院和出院护理、舒适与安全护理；医院感染的预防和控制、患者的清洁卫生、饮食护理技术、给药技术、药物过敏试验技术、临终患者的护理技术</w:t>
      </w:r>
      <w:r>
        <w:rPr>
          <w:rFonts w:hint="eastAsia"/>
          <w:sz w:val="24"/>
        </w:rPr>
        <w:t>。</w:t>
      </w:r>
    </w:p>
    <w:p>
      <w:pPr>
        <w:spacing w:line="400" w:lineRule="exact"/>
        <w:ind w:firstLine="480" w:firstLineChars="200"/>
        <w:rPr>
          <w:rFonts w:ascii="宋体" w:hAnsi="宋体"/>
          <w:sz w:val="24"/>
        </w:rPr>
      </w:pPr>
      <w:r>
        <w:rPr>
          <w:rFonts w:hint="eastAsia" w:ascii="宋体" w:hAnsi="宋体"/>
          <w:sz w:val="24"/>
        </w:rPr>
        <w:t xml:space="preserve">2. </w:t>
      </w:r>
      <w:r>
        <w:rPr>
          <w:rFonts w:hint="eastAsia"/>
          <w:sz w:val="24"/>
        </w:rPr>
        <w:t>母婴护理</w:t>
      </w:r>
    </w:p>
    <w:p>
      <w:pPr>
        <w:spacing w:line="400" w:lineRule="exact"/>
        <w:ind w:firstLine="480" w:firstLineChars="200"/>
        <w:rPr>
          <w:rFonts w:ascii="宋体" w:hAnsi="宋体"/>
          <w:sz w:val="24"/>
        </w:rPr>
      </w:pPr>
      <w:r>
        <w:rPr>
          <w:rFonts w:hint="eastAsia" w:ascii="宋体" w:hAnsi="宋体"/>
          <w:sz w:val="24"/>
        </w:rPr>
        <w:t>本课程主要介绍</w:t>
      </w:r>
      <w:r>
        <w:rPr>
          <w:sz w:val="24"/>
        </w:rPr>
        <w:t>母婴护理概念、范畴及发展历程；女性生殖系统解剖与生理，周期性变化等；妊娠、评估、管理、营养及健康教育等；分娩期护理，正常分娩过程、分娩期及产后并发症的护理等；</w:t>
      </w:r>
    </w:p>
    <w:p>
      <w:pPr>
        <w:spacing w:line="400" w:lineRule="exact"/>
        <w:ind w:firstLine="480" w:firstLineChars="200"/>
        <w:rPr>
          <w:rFonts w:ascii="宋体" w:hAnsi="宋体"/>
          <w:sz w:val="24"/>
          <w:szCs w:val="24"/>
        </w:rPr>
      </w:pPr>
      <w:r>
        <w:rPr>
          <w:rFonts w:hint="eastAsia" w:ascii="宋体" w:hAnsi="宋体"/>
          <w:sz w:val="24"/>
          <w:szCs w:val="24"/>
        </w:rPr>
        <w:t>3. 儿童护理</w:t>
      </w:r>
    </w:p>
    <w:p>
      <w:pPr>
        <w:spacing w:line="400" w:lineRule="exact"/>
        <w:ind w:firstLine="480" w:firstLineChars="200"/>
        <w:rPr>
          <w:sz w:val="24"/>
          <w:szCs w:val="24"/>
        </w:rPr>
      </w:pPr>
      <w:r>
        <w:rPr>
          <w:rFonts w:hint="eastAsia" w:ascii="宋体" w:hAnsi="宋体"/>
          <w:sz w:val="24"/>
          <w:szCs w:val="24"/>
        </w:rPr>
        <w:t>本课程主要任务是学习</w:t>
      </w:r>
      <w:r>
        <w:rPr>
          <w:sz w:val="24"/>
          <w:szCs w:val="24"/>
        </w:rPr>
        <w:t>儿童各系统常见疾病的概念、病因、发病机理、健康史</w:t>
      </w:r>
      <w:r>
        <w:rPr>
          <w:rFonts w:hint="eastAsia"/>
          <w:sz w:val="24"/>
          <w:szCs w:val="24"/>
        </w:rPr>
        <w:t>、</w:t>
      </w:r>
      <w:r>
        <w:rPr>
          <w:sz w:val="24"/>
          <w:szCs w:val="24"/>
        </w:rPr>
        <w:t>辅助检查、护理诊断及护理措施，包括消化、呼吸、风湿、神经等系统；结缔组织疾病、遗传性疾病、急性传染病、寄生虫病患儿的护理</w:t>
      </w:r>
      <w:r>
        <w:rPr>
          <w:rFonts w:hint="eastAsia"/>
          <w:sz w:val="24"/>
          <w:szCs w:val="24"/>
        </w:rPr>
        <w:t>等。</w:t>
      </w:r>
    </w:p>
    <w:p>
      <w:pPr>
        <w:spacing w:line="400" w:lineRule="exact"/>
        <w:ind w:firstLine="480" w:firstLineChars="200"/>
        <w:rPr>
          <w:sz w:val="24"/>
          <w:szCs w:val="24"/>
        </w:rPr>
      </w:pPr>
      <w:r>
        <w:rPr>
          <w:rFonts w:hint="eastAsia"/>
          <w:sz w:val="24"/>
          <w:szCs w:val="24"/>
        </w:rPr>
        <w:t>4.内科护理学</w:t>
      </w:r>
    </w:p>
    <w:p>
      <w:pPr>
        <w:spacing w:line="400" w:lineRule="exact"/>
        <w:ind w:firstLine="480" w:firstLineChars="200"/>
        <w:rPr>
          <w:sz w:val="24"/>
          <w:szCs w:val="24"/>
        </w:rPr>
      </w:pPr>
      <w:r>
        <w:rPr>
          <w:rFonts w:hint="eastAsia"/>
          <w:sz w:val="24"/>
          <w:szCs w:val="24"/>
        </w:rPr>
        <w:t>本课程主要任务是培养学生养成良好的临床内科护理思维，能够在内科护理理论框架下通过运用护理手段观察和处理患者在内科系统的常见病、多发病的病因与发病机制、临床表现、实验室及其他检查、诊断要点和治疗要点，重点阐述各系统主要症状的评估与护理及各系统疾病护理与健康教育。</w:t>
      </w:r>
    </w:p>
    <w:p>
      <w:pPr>
        <w:numPr>
          <w:ilvl w:val="0"/>
          <w:numId w:val="1"/>
        </w:numPr>
        <w:spacing w:line="400" w:lineRule="exact"/>
        <w:ind w:firstLine="480" w:firstLineChars="200"/>
        <w:rPr>
          <w:sz w:val="24"/>
          <w:szCs w:val="24"/>
        </w:rPr>
      </w:pPr>
      <w:r>
        <w:rPr>
          <w:rFonts w:hint="eastAsia"/>
          <w:sz w:val="24"/>
          <w:szCs w:val="24"/>
        </w:rPr>
        <w:t>外科护理学</w:t>
      </w:r>
    </w:p>
    <w:p>
      <w:pPr>
        <w:spacing w:line="400" w:lineRule="exact"/>
        <w:rPr>
          <w:sz w:val="24"/>
          <w:szCs w:val="24"/>
        </w:rPr>
      </w:pPr>
      <w:r>
        <w:rPr>
          <w:rFonts w:hint="eastAsia"/>
          <w:sz w:val="24"/>
          <w:szCs w:val="24"/>
        </w:rPr>
        <w:t xml:space="preserve">    本课程主要任务是学习普通外科、周围血管外科、颅脑外科、心胸外科、泌尿男性生殖外科、骨关节外科、小儿外科等领域病人临床护理、预防保健以及促进人类健康所必需的基础理论、专业基本知识和基本技能。</w:t>
      </w:r>
    </w:p>
    <w:p>
      <w:pPr>
        <w:spacing w:line="380" w:lineRule="exact"/>
        <w:ind w:firstLine="480" w:firstLineChars="200"/>
        <w:rPr>
          <w:rFonts w:ascii="宋体" w:hAnsi="宋体" w:cs="宋体"/>
          <w:sz w:val="24"/>
          <w:szCs w:val="24"/>
        </w:rPr>
      </w:pPr>
      <w:r>
        <w:rPr>
          <w:rFonts w:hint="eastAsia"/>
          <w:sz w:val="24"/>
        </w:rPr>
        <w:t>6</w:t>
      </w:r>
      <w:r>
        <w:rPr>
          <w:rFonts w:hint="eastAsia" w:ascii="宋体" w:hAnsi="宋体" w:cs="宋体"/>
          <w:sz w:val="24"/>
          <w:szCs w:val="24"/>
          <w:lang w:bidi="ar"/>
        </w:rPr>
        <w:t xml:space="preserve">. </w:t>
      </w:r>
      <w:r>
        <w:rPr>
          <w:rFonts w:hint="eastAsia" w:ascii="宋体" w:hAnsi="宋体" w:cs="宋体"/>
          <w:kern w:val="0"/>
          <w:sz w:val="24"/>
          <w:szCs w:val="24"/>
          <w:lang w:bidi="ar"/>
        </w:rPr>
        <w:t>急危重症护理实训</w:t>
      </w:r>
    </w:p>
    <w:p>
      <w:pPr>
        <w:spacing w:line="380" w:lineRule="exact"/>
        <w:ind w:firstLine="480" w:firstLineChars="200"/>
        <w:rPr>
          <w:rFonts w:ascii="宋体" w:hAnsi="宋体" w:cs="宋体"/>
          <w:color w:val="000000"/>
          <w:sz w:val="24"/>
          <w:szCs w:val="24"/>
        </w:rPr>
      </w:pPr>
      <w:r>
        <w:rPr>
          <w:rFonts w:hint="eastAsia" w:ascii="宋体" w:hAnsi="宋体" w:cs="宋体"/>
          <w:color w:val="000000"/>
          <w:sz w:val="24"/>
          <w:szCs w:val="24"/>
          <w:lang w:bidi="ar"/>
        </w:rPr>
        <w:t>本课程主要任务是</w:t>
      </w:r>
      <w:r>
        <w:rPr>
          <w:rFonts w:hint="eastAsia" w:ascii="宋体" w:hAnsi="宋体" w:cs="宋体"/>
          <w:sz w:val="24"/>
          <w:szCs w:val="24"/>
          <w:lang w:bidi="ar"/>
        </w:rPr>
        <w:t>掌握各系统功能方法、指标值的临床意义与护理监测重点；熟悉心血管、呼吸、神经、肾脏、消化，内分沁系统功能监测的目的和意义；具有运用系统功能监测指标综合分析评估患者的脏器功能的能力。</w:t>
      </w:r>
    </w:p>
    <w:p>
      <w:pPr>
        <w:spacing w:line="440" w:lineRule="exact"/>
        <w:ind w:firstLine="480" w:firstLineChars="200"/>
        <w:rPr>
          <w:rFonts w:ascii="宋体" w:hAnsi="宋体"/>
          <w:sz w:val="24"/>
        </w:rPr>
      </w:pPr>
      <w:r>
        <w:rPr>
          <w:rFonts w:hint="eastAsia" w:ascii="宋体" w:hAnsi="宋体"/>
          <w:sz w:val="24"/>
        </w:rPr>
        <w:t>（三）主要实践环节</w:t>
      </w:r>
    </w:p>
    <w:p>
      <w:pPr>
        <w:spacing w:line="440" w:lineRule="exact"/>
        <w:ind w:firstLine="600" w:firstLineChars="250"/>
        <w:rPr>
          <w:rFonts w:ascii="宋体" w:hAnsi="宋体"/>
          <w:sz w:val="24"/>
        </w:rPr>
      </w:pPr>
      <w:r>
        <w:rPr>
          <w:rFonts w:hint="eastAsia" w:ascii="宋体" w:hAnsi="宋体"/>
          <w:sz w:val="24"/>
        </w:rPr>
        <w:t>实践教学环节见表3。</w:t>
      </w:r>
    </w:p>
    <w:tbl>
      <w:tblPr>
        <w:tblStyle w:val="3"/>
        <w:tblW w:w="8509" w:type="dxa"/>
        <w:jc w:val="center"/>
        <w:tblLayout w:type="fixed"/>
        <w:tblCellMar>
          <w:top w:w="0" w:type="dxa"/>
          <w:left w:w="108" w:type="dxa"/>
          <w:bottom w:w="0" w:type="dxa"/>
          <w:right w:w="108" w:type="dxa"/>
        </w:tblCellMar>
      </w:tblPr>
      <w:tblGrid>
        <w:gridCol w:w="1418"/>
        <w:gridCol w:w="2268"/>
        <w:gridCol w:w="2551"/>
        <w:gridCol w:w="2272"/>
      </w:tblGrid>
      <w:tr>
        <w:tblPrEx>
          <w:tblCellMar>
            <w:top w:w="0" w:type="dxa"/>
            <w:left w:w="108" w:type="dxa"/>
            <w:bottom w:w="0" w:type="dxa"/>
            <w:right w:w="108" w:type="dxa"/>
          </w:tblCellMar>
        </w:tblPrEx>
        <w:trPr>
          <w:trHeight w:val="376"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rPr>
              <w:t>实践项目</w:t>
            </w:r>
          </w:p>
        </w:tc>
        <w:tc>
          <w:tcPr>
            <w:tcW w:w="2268"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rPr>
              <w:t>教学实践内容</w:t>
            </w: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rPr>
              <w:t>实践地点</w:t>
            </w:r>
          </w:p>
        </w:tc>
        <w:tc>
          <w:tcPr>
            <w:tcW w:w="2272"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rPr>
              <w:t>实践目的</w:t>
            </w:r>
          </w:p>
        </w:tc>
      </w:tr>
      <w:tr>
        <w:tblPrEx>
          <w:tblCellMar>
            <w:top w:w="0" w:type="dxa"/>
            <w:left w:w="108" w:type="dxa"/>
            <w:bottom w:w="0" w:type="dxa"/>
            <w:right w:w="108" w:type="dxa"/>
          </w:tblCellMar>
        </w:tblPrEx>
        <w:trPr>
          <w:trHeight w:val="255"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校内实训</w:t>
            </w:r>
          </w:p>
        </w:tc>
        <w:tc>
          <w:tcPr>
            <w:tcW w:w="2268"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cs="宋体"/>
                <w:kern w:val="0"/>
                <w:szCs w:val="21"/>
                <w:lang w:bidi="ar"/>
              </w:rPr>
              <w:t>急危重症护理实训</w:t>
            </w: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rPr>
              <w:t>护理学实验室</w:t>
            </w:r>
          </w:p>
        </w:tc>
        <w:tc>
          <w:tcPr>
            <w:tcW w:w="2272" w:type="dxa"/>
            <w:tcBorders>
              <w:top w:val="single" w:color="auto" w:sz="4" w:space="0"/>
              <w:left w:val="nil"/>
              <w:bottom w:val="single" w:color="auto" w:sz="4" w:space="0"/>
              <w:right w:val="single" w:color="auto" w:sz="4" w:space="0"/>
            </w:tcBorders>
            <w:vAlign w:val="center"/>
          </w:tcPr>
          <w:p>
            <w:pPr>
              <w:rPr>
                <w:rFonts w:ascii="宋体" w:hAnsi="宋体"/>
                <w:szCs w:val="21"/>
              </w:rPr>
            </w:pPr>
            <w:r>
              <w:rPr>
                <w:rFonts w:hint="eastAsia" w:ascii="宋体" w:hAnsi="宋体"/>
              </w:rPr>
              <w:t>学习急危重症病人急救知识</w:t>
            </w:r>
          </w:p>
        </w:tc>
      </w:tr>
      <w:tr>
        <w:tblPrEx>
          <w:tblCellMar>
            <w:top w:w="0" w:type="dxa"/>
            <w:left w:w="108" w:type="dxa"/>
            <w:bottom w:w="0" w:type="dxa"/>
            <w:right w:w="108" w:type="dxa"/>
          </w:tblCellMar>
        </w:tblPrEx>
        <w:trPr>
          <w:trHeight w:val="458"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rPr>
              <w:t>顶岗实习</w:t>
            </w:r>
          </w:p>
        </w:tc>
        <w:tc>
          <w:tcPr>
            <w:tcW w:w="2268" w:type="dxa"/>
            <w:tcBorders>
              <w:top w:val="single" w:color="auto" w:sz="4" w:space="0"/>
              <w:left w:val="nil"/>
              <w:bottom w:val="single" w:color="auto" w:sz="4" w:space="0"/>
              <w:right w:val="single" w:color="auto" w:sz="4" w:space="0"/>
            </w:tcBorders>
            <w:vAlign w:val="center"/>
          </w:tcPr>
          <w:p>
            <w:pPr>
              <w:jc w:val="left"/>
              <w:rPr>
                <w:rFonts w:ascii="宋体" w:hAnsi="宋体"/>
              </w:rPr>
            </w:pPr>
            <w:r>
              <w:rPr>
                <w:rFonts w:hint="eastAsia" w:ascii="宋体" w:hAnsi="宋体"/>
              </w:rPr>
              <w:t>医院护理实习</w:t>
            </w:r>
          </w:p>
          <w:p>
            <w:pPr>
              <w:jc w:val="left"/>
              <w:rPr>
                <w:rFonts w:ascii="宋体" w:hAnsi="宋体"/>
              </w:rPr>
            </w:pPr>
            <w:r>
              <w:rPr>
                <w:rFonts w:hint="eastAsia" w:ascii="宋体" w:hAnsi="宋体"/>
              </w:rPr>
              <w:t>养老院护理实习</w:t>
            </w:r>
          </w:p>
          <w:p>
            <w:pPr>
              <w:jc w:val="left"/>
              <w:rPr>
                <w:rFonts w:ascii="宋体" w:hAnsi="宋体"/>
                <w:szCs w:val="21"/>
              </w:rPr>
            </w:pPr>
            <w:r>
              <w:rPr>
                <w:rFonts w:hint="eastAsia" w:ascii="宋体" w:hAnsi="宋体"/>
              </w:rPr>
              <w:t>儿童护理实习</w:t>
            </w: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rPr>
            </w:pPr>
            <w:r>
              <w:rPr>
                <w:rFonts w:hint="eastAsia" w:ascii="宋体" w:hAnsi="宋体" w:cs="宋体"/>
                <w:szCs w:val="21"/>
              </w:rPr>
              <w:t>江门市中医院实习基地</w:t>
            </w:r>
          </w:p>
          <w:p>
            <w:pPr>
              <w:jc w:val="center"/>
              <w:rPr>
                <w:rFonts w:ascii="宋体" w:hAnsi="宋体"/>
                <w:szCs w:val="21"/>
              </w:rPr>
            </w:pPr>
            <w:r>
              <w:rPr>
                <w:rFonts w:hint="eastAsia" w:ascii="宋体" w:hAnsi="宋体" w:cs="宋体"/>
                <w:szCs w:val="21"/>
              </w:rPr>
              <w:t>广州中医药大学金沙洲医院实习基地</w:t>
            </w:r>
          </w:p>
          <w:p>
            <w:pPr>
              <w:jc w:val="center"/>
              <w:rPr>
                <w:rFonts w:ascii="宋体" w:hAnsi="宋体" w:cs="宋体"/>
                <w:szCs w:val="21"/>
              </w:rPr>
            </w:pPr>
            <w:r>
              <w:rPr>
                <w:rFonts w:hint="eastAsia" w:ascii="宋体" w:hAnsi="宋体" w:cs="宋体"/>
                <w:szCs w:val="21"/>
              </w:rPr>
              <w:t>广州中医药大学附属新会中医院实习基地</w:t>
            </w:r>
          </w:p>
          <w:p>
            <w:pPr>
              <w:jc w:val="center"/>
              <w:rPr>
                <w:rFonts w:ascii="宋体" w:hAnsi="宋体" w:cs="宋体"/>
                <w:szCs w:val="21"/>
              </w:rPr>
            </w:pPr>
            <w:r>
              <w:rPr>
                <w:rFonts w:hint="eastAsia" w:ascii="宋体" w:hAnsi="宋体" w:cs="宋体"/>
                <w:szCs w:val="21"/>
              </w:rPr>
              <w:t>广东省工人医院实习基地</w:t>
            </w:r>
          </w:p>
          <w:p>
            <w:pPr>
              <w:jc w:val="center"/>
              <w:rPr>
                <w:rFonts w:ascii="宋体" w:hAnsi="宋体"/>
                <w:szCs w:val="21"/>
              </w:rPr>
            </w:pPr>
            <w:r>
              <w:rPr>
                <w:rFonts w:hint="eastAsia" w:ascii="宋体" w:hAnsi="宋体" w:cs="宋体"/>
                <w:szCs w:val="21"/>
              </w:rPr>
              <w:t>江门市人民医院实习基地</w:t>
            </w:r>
          </w:p>
        </w:tc>
        <w:tc>
          <w:tcPr>
            <w:tcW w:w="2272" w:type="dxa"/>
            <w:tcBorders>
              <w:top w:val="single" w:color="auto" w:sz="4" w:space="0"/>
              <w:left w:val="nil"/>
              <w:bottom w:val="single" w:color="auto" w:sz="4" w:space="0"/>
              <w:right w:val="single" w:color="auto" w:sz="4" w:space="0"/>
            </w:tcBorders>
            <w:vAlign w:val="center"/>
          </w:tcPr>
          <w:p>
            <w:pPr>
              <w:ind w:firstLine="420" w:firstLineChars="200"/>
              <w:rPr>
                <w:rFonts w:ascii="宋体" w:hAnsi="宋体"/>
                <w:szCs w:val="21"/>
              </w:rPr>
            </w:pPr>
            <w:r>
              <w:rPr>
                <w:rFonts w:hint="eastAsia" w:ascii="宋体" w:hAnsi="宋体"/>
              </w:rPr>
              <w:t>让学生了解医院护理的工作流程，首席护理的实际操作，让学生能够更快的投入到真正的工作当中</w:t>
            </w:r>
          </w:p>
        </w:tc>
      </w:tr>
    </w:tbl>
    <w:p>
      <w:pPr>
        <w:spacing w:line="440" w:lineRule="exact"/>
        <w:ind w:firstLine="600" w:firstLineChars="250"/>
        <w:rPr>
          <w:rFonts w:ascii="宋体" w:hAnsi="宋体"/>
          <w:sz w:val="24"/>
        </w:rPr>
      </w:pPr>
      <w:r>
        <w:rPr>
          <w:rFonts w:hint="eastAsia" w:ascii="宋体" w:hAnsi="宋体"/>
          <w:sz w:val="24"/>
        </w:rPr>
        <w:t>在第二和第三学期的实习实训课程教学中，针对不同生源学生的基础特点，在教学大纲中设置有难度差异的可选项目，供不同生源的学生选做。第四学期达到同步。</w:t>
      </w:r>
    </w:p>
    <w:p>
      <w:pPr>
        <w:spacing w:line="440" w:lineRule="exact"/>
        <w:ind w:firstLine="482" w:firstLineChars="200"/>
        <w:rPr>
          <w:rFonts w:ascii="宋体" w:hAnsi="宋体"/>
          <w:b/>
          <w:bCs/>
          <w:sz w:val="24"/>
        </w:rPr>
      </w:pPr>
      <w:r>
        <w:rPr>
          <w:rFonts w:hint="eastAsia" w:ascii="宋体" w:hAnsi="宋体"/>
          <w:b/>
          <w:bCs/>
          <w:sz w:val="24"/>
        </w:rPr>
        <w:t>四、课程结构及学分比例</w:t>
      </w:r>
    </w:p>
    <w:p>
      <w:pPr>
        <w:spacing w:line="440" w:lineRule="exact"/>
        <w:ind w:firstLine="480" w:firstLineChars="200"/>
        <w:rPr>
          <w:rFonts w:ascii="宋体" w:hAnsi="宋体"/>
          <w:sz w:val="24"/>
        </w:rPr>
      </w:pPr>
      <w:r>
        <w:rPr>
          <w:rFonts w:hint="eastAsia" w:ascii="宋体" w:hAnsi="宋体"/>
          <w:sz w:val="24"/>
        </w:rPr>
        <w:t>（一）课程结构比例</w:t>
      </w:r>
    </w:p>
    <w:p>
      <w:pPr>
        <w:spacing w:line="440" w:lineRule="exact"/>
        <w:ind w:firstLine="480" w:firstLineChars="200"/>
        <w:rPr>
          <w:rFonts w:ascii="宋体" w:hAnsi="宋体"/>
          <w:sz w:val="24"/>
        </w:rPr>
      </w:pPr>
      <w:r>
        <w:rPr>
          <w:rFonts w:hint="eastAsia" w:ascii="宋体" w:hAnsi="宋体"/>
          <w:sz w:val="24"/>
        </w:rPr>
        <w:t>课程结构比例见表4。</w:t>
      </w:r>
    </w:p>
    <w:p>
      <w:pPr>
        <w:spacing w:line="440" w:lineRule="exact"/>
        <w:jc w:val="center"/>
        <w:rPr>
          <w:rFonts w:ascii="宋体" w:hAnsi="宋体"/>
          <w:b/>
          <w:bCs/>
          <w:sz w:val="24"/>
        </w:rPr>
      </w:pPr>
      <w:r>
        <w:rPr>
          <w:rFonts w:hint="eastAsia" w:ascii="宋体" w:hAnsi="宋体"/>
          <w:b/>
          <w:bCs/>
          <w:sz w:val="24"/>
        </w:rPr>
        <w:t>表4  课程结构比例表</w:t>
      </w:r>
    </w:p>
    <w:tbl>
      <w:tblPr>
        <w:tblStyle w:val="3"/>
        <w:tblW w:w="8120" w:type="dxa"/>
        <w:jc w:val="center"/>
        <w:tblLayout w:type="fixed"/>
        <w:tblCellMar>
          <w:top w:w="0" w:type="dxa"/>
          <w:left w:w="108" w:type="dxa"/>
          <w:bottom w:w="0" w:type="dxa"/>
          <w:right w:w="108" w:type="dxa"/>
        </w:tblCellMar>
      </w:tblPr>
      <w:tblGrid>
        <w:gridCol w:w="1202"/>
        <w:gridCol w:w="1275"/>
        <w:gridCol w:w="1123"/>
        <w:gridCol w:w="880"/>
        <w:gridCol w:w="1060"/>
        <w:gridCol w:w="1100"/>
        <w:gridCol w:w="1480"/>
      </w:tblGrid>
      <w:tr>
        <w:tblPrEx>
          <w:tblCellMar>
            <w:top w:w="0" w:type="dxa"/>
            <w:left w:w="108" w:type="dxa"/>
            <w:bottom w:w="0" w:type="dxa"/>
            <w:right w:w="108" w:type="dxa"/>
          </w:tblCellMar>
        </w:tblPrEx>
        <w:trPr>
          <w:trHeight w:val="510" w:hRule="atLeast"/>
          <w:jc w:val="center"/>
        </w:trPr>
        <w:tc>
          <w:tcPr>
            <w:tcW w:w="1202"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教学内容</w:t>
            </w:r>
          </w:p>
        </w:tc>
        <w:tc>
          <w:tcPr>
            <w:tcW w:w="127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课程类别</w:t>
            </w:r>
          </w:p>
        </w:tc>
        <w:tc>
          <w:tcPr>
            <w:tcW w:w="1123"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课程学时比例</w:t>
            </w:r>
          </w:p>
        </w:tc>
        <w:tc>
          <w:tcPr>
            <w:tcW w:w="8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学时</w:t>
            </w:r>
          </w:p>
        </w:tc>
        <w:tc>
          <w:tcPr>
            <w:tcW w:w="3640"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学时分配</w:t>
            </w:r>
          </w:p>
        </w:tc>
      </w:tr>
      <w:tr>
        <w:tblPrEx>
          <w:tblCellMar>
            <w:top w:w="0" w:type="dxa"/>
            <w:left w:w="108" w:type="dxa"/>
            <w:bottom w:w="0" w:type="dxa"/>
            <w:right w:w="108" w:type="dxa"/>
          </w:tblCellMar>
        </w:tblPrEx>
        <w:trPr>
          <w:trHeight w:val="270" w:hRule="atLeast"/>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12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112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w:t>
            </w:r>
          </w:p>
        </w:tc>
        <w:tc>
          <w:tcPr>
            <w:tcW w:w="8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面授</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实践</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自学</w:t>
            </w:r>
          </w:p>
        </w:tc>
      </w:tr>
      <w:tr>
        <w:tblPrEx>
          <w:tblCellMar>
            <w:top w:w="0" w:type="dxa"/>
            <w:left w:w="108" w:type="dxa"/>
            <w:bottom w:w="0" w:type="dxa"/>
            <w:right w:w="108" w:type="dxa"/>
          </w:tblCellMar>
        </w:tblPrEx>
        <w:trPr>
          <w:trHeight w:val="270" w:hRule="atLeast"/>
          <w:jc w:val="center"/>
        </w:trPr>
        <w:tc>
          <w:tcPr>
            <w:tcW w:w="120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课堂教学</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公共课</w:t>
            </w:r>
          </w:p>
        </w:tc>
        <w:tc>
          <w:tcPr>
            <w:tcW w:w="112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27.6%</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508</w:t>
            </w: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 w:val="18"/>
                <w:szCs w:val="18"/>
                <w:lang w:bidi="ar"/>
              </w:rPr>
              <w:t>156</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30 </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322</w:t>
            </w:r>
          </w:p>
        </w:tc>
      </w:tr>
      <w:tr>
        <w:tblPrEx>
          <w:tblCellMar>
            <w:top w:w="0" w:type="dxa"/>
            <w:left w:w="108" w:type="dxa"/>
            <w:bottom w:w="0" w:type="dxa"/>
            <w:right w:w="108" w:type="dxa"/>
          </w:tblCellMar>
        </w:tblPrEx>
        <w:trPr>
          <w:trHeight w:val="270" w:hRule="atLeast"/>
          <w:jc w:val="center"/>
        </w:trPr>
        <w:tc>
          <w:tcPr>
            <w:tcW w:w="120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专业课</w:t>
            </w:r>
          </w:p>
        </w:tc>
        <w:tc>
          <w:tcPr>
            <w:tcW w:w="112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50.5%</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928 </w:t>
            </w: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 w:val="18"/>
                <w:szCs w:val="18"/>
                <w:lang w:bidi="ar"/>
              </w:rPr>
              <w:t>280</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56 </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592 </w:t>
            </w:r>
          </w:p>
        </w:tc>
      </w:tr>
      <w:tr>
        <w:tblPrEx>
          <w:tblCellMar>
            <w:top w:w="0" w:type="dxa"/>
            <w:left w:w="108" w:type="dxa"/>
            <w:bottom w:w="0" w:type="dxa"/>
            <w:right w:w="108" w:type="dxa"/>
          </w:tblCellMar>
        </w:tblPrEx>
        <w:trPr>
          <w:trHeight w:val="510" w:hRule="atLeast"/>
          <w:jc w:val="center"/>
        </w:trPr>
        <w:tc>
          <w:tcPr>
            <w:tcW w:w="120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专业选修课</w:t>
            </w:r>
          </w:p>
        </w:tc>
        <w:tc>
          <w:tcPr>
            <w:tcW w:w="112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5.2%</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96</w:t>
            </w: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32</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0 </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64</w:t>
            </w:r>
          </w:p>
        </w:tc>
      </w:tr>
      <w:tr>
        <w:tblPrEx>
          <w:tblCellMar>
            <w:top w:w="0" w:type="dxa"/>
            <w:left w:w="108" w:type="dxa"/>
            <w:bottom w:w="0" w:type="dxa"/>
            <w:right w:w="108" w:type="dxa"/>
          </w:tblCellMar>
        </w:tblPrEx>
        <w:trPr>
          <w:trHeight w:val="270" w:hRule="atLeast"/>
          <w:jc w:val="center"/>
        </w:trPr>
        <w:tc>
          <w:tcPr>
            <w:tcW w:w="120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专业实践</w:t>
            </w:r>
          </w:p>
        </w:tc>
        <w:tc>
          <w:tcPr>
            <w:tcW w:w="112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16.5%</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304 </w:t>
            </w: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0 </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304 </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0</w:t>
            </w:r>
          </w:p>
        </w:tc>
      </w:tr>
      <w:tr>
        <w:tblPrEx>
          <w:tblCellMar>
            <w:top w:w="0" w:type="dxa"/>
            <w:left w:w="108" w:type="dxa"/>
            <w:bottom w:w="0" w:type="dxa"/>
            <w:right w:w="108" w:type="dxa"/>
          </w:tblCellMar>
        </w:tblPrEx>
        <w:trPr>
          <w:trHeight w:val="270" w:hRule="atLeast"/>
          <w:jc w:val="center"/>
        </w:trPr>
        <w:tc>
          <w:tcPr>
            <w:tcW w:w="360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总学时</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1836</w:t>
            </w: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468 </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390</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978</w:t>
            </w:r>
          </w:p>
        </w:tc>
      </w:tr>
      <w:tr>
        <w:tblPrEx>
          <w:tblCellMar>
            <w:top w:w="0" w:type="dxa"/>
            <w:left w:w="108" w:type="dxa"/>
            <w:bottom w:w="0" w:type="dxa"/>
            <w:right w:w="108" w:type="dxa"/>
          </w:tblCellMar>
        </w:tblPrEx>
        <w:trPr>
          <w:trHeight w:val="270" w:hRule="atLeast"/>
          <w:jc w:val="center"/>
        </w:trPr>
        <w:tc>
          <w:tcPr>
            <w:tcW w:w="360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占总学时比例（%）</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0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25.5%</w:t>
            </w:r>
          </w:p>
        </w:tc>
        <w:tc>
          <w:tcPr>
            <w:tcW w:w="11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21.3%</w:t>
            </w:r>
          </w:p>
        </w:tc>
        <w:tc>
          <w:tcPr>
            <w:tcW w:w="14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53.2%</w:t>
            </w:r>
          </w:p>
        </w:tc>
      </w:tr>
    </w:tbl>
    <w:p>
      <w:pPr>
        <w:spacing w:line="440" w:lineRule="exact"/>
        <w:ind w:firstLine="480" w:firstLineChars="200"/>
        <w:rPr>
          <w:rFonts w:ascii="宋体" w:hAnsi="宋体"/>
          <w:sz w:val="24"/>
        </w:rPr>
      </w:pPr>
    </w:p>
    <w:p>
      <w:pPr>
        <w:spacing w:line="440" w:lineRule="exact"/>
        <w:ind w:firstLine="480" w:firstLineChars="200"/>
        <w:rPr>
          <w:rFonts w:ascii="宋体" w:hAnsi="宋体"/>
          <w:sz w:val="24"/>
        </w:rPr>
      </w:pPr>
      <w:r>
        <w:rPr>
          <w:rFonts w:hint="eastAsia" w:ascii="宋体" w:hAnsi="宋体"/>
          <w:sz w:val="24"/>
        </w:rPr>
        <w:t>（二）学时分配与学分比例</w:t>
      </w:r>
    </w:p>
    <w:p>
      <w:pPr>
        <w:spacing w:line="440" w:lineRule="exact"/>
        <w:ind w:firstLine="480" w:firstLineChars="200"/>
        <w:jc w:val="left"/>
        <w:rPr>
          <w:rFonts w:ascii="宋体" w:hAnsi="宋体"/>
          <w:sz w:val="24"/>
        </w:rPr>
      </w:pPr>
      <w:r>
        <w:rPr>
          <w:rFonts w:hint="eastAsia" w:ascii="宋体" w:hAnsi="宋体"/>
          <w:sz w:val="24"/>
        </w:rPr>
        <w:t>各类课程学时分配与学分比例见表5。</w:t>
      </w:r>
    </w:p>
    <w:p>
      <w:pPr>
        <w:spacing w:line="440" w:lineRule="exact"/>
        <w:jc w:val="center"/>
        <w:rPr>
          <w:rFonts w:ascii="宋体" w:hAnsi="宋体"/>
          <w:b/>
          <w:bCs/>
          <w:sz w:val="24"/>
        </w:rPr>
      </w:pPr>
      <w:r>
        <w:rPr>
          <w:rFonts w:hint="eastAsia" w:ascii="宋体" w:hAnsi="宋体"/>
          <w:b/>
          <w:bCs/>
          <w:sz w:val="24"/>
        </w:rPr>
        <w:t>表5  各类课程学时分配与学分比例表</w:t>
      </w:r>
    </w:p>
    <w:tbl>
      <w:tblPr>
        <w:tblStyle w:val="3"/>
        <w:tblW w:w="8221" w:type="dxa"/>
        <w:jc w:val="center"/>
        <w:tblLayout w:type="fixed"/>
        <w:tblCellMar>
          <w:top w:w="0" w:type="dxa"/>
          <w:left w:w="108" w:type="dxa"/>
          <w:bottom w:w="0" w:type="dxa"/>
          <w:right w:w="108" w:type="dxa"/>
        </w:tblCellMar>
      </w:tblPr>
      <w:tblGrid>
        <w:gridCol w:w="1734"/>
        <w:gridCol w:w="1288"/>
        <w:gridCol w:w="1436"/>
        <w:gridCol w:w="1089"/>
        <w:gridCol w:w="1312"/>
        <w:gridCol w:w="1362"/>
      </w:tblGrid>
      <w:tr>
        <w:tblPrEx>
          <w:tblCellMar>
            <w:top w:w="0" w:type="dxa"/>
            <w:left w:w="108" w:type="dxa"/>
            <w:bottom w:w="0" w:type="dxa"/>
            <w:right w:w="108" w:type="dxa"/>
          </w:tblCellMar>
        </w:tblPrEx>
        <w:trPr>
          <w:trHeight w:val="606" w:hRule="atLeast"/>
          <w:jc w:val="center"/>
        </w:trPr>
        <w:tc>
          <w:tcPr>
            <w:tcW w:w="173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课程类别</w:t>
            </w:r>
          </w:p>
        </w:tc>
        <w:tc>
          <w:tcPr>
            <w:tcW w:w="128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课程总数</w:t>
            </w:r>
          </w:p>
        </w:tc>
        <w:tc>
          <w:tcPr>
            <w:tcW w:w="143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课程实修数</w:t>
            </w:r>
          </w:p>
        </w:tc>
        <w:tc>
          <w:tcPr>
            <w:tcW w:w="108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总学时</w:t>
            </w:r>
          </w:p>
        </w:tc>
        <w:tc>
          <w:tcPr>
            <w:tcW w:w="131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课程总学分</w:t>
            </w:r>
          </w:p>
        </w:tc>
        <w:tc>
          <w:tcPr>
            <w:tcW w:w="136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占总学分比例（%）</w:t>
            </w:r>
          </w:p>
        </w:tc>
      </w:tr>
      <w:tr>
        <w:tblPrEx>
          <w:tblCellMar>
            <w:top w:w="0" w:type="dxa"/>
            <w:left w:w="108" w:type="dxa"/>
            <w:bottom w:w="0" w:type="dxa"/>
            <w:right w:w="108" w:type="dxa"/>
          </w:tblCellMar>
        </w:tblPrEx>
        <w:trPr>
          <w:trHeight w:val="320" w:hRule="atLeast"/>
          <w:jc w:val="center"/>
        </w:trPr>
        <w:tc>
          <w:tcPr>
            <w:tcW w:w="173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公共课</w:t>
            </w:r>
          </w:p>
        </w:tc>
        <w:tc>
          <w:tcPr>
            <w:tcW w:w="128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143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10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508</w:t>
            </w:r>
          </w:p>
        </w:tc>
        <w:tc>
          <w:tcPr>
            <w:tcW w:w="131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w:t>
            </w:r>
          </w:p>
        </w:tc>
        <w:tc>
          <w:tcPr>
            <w:tcW w:w="136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16.8%</w:t>
            </w:r>
          </w:p>
        </w:tc>
      </w:tr>
      <w:tr>
        <w:tblPrEx>
          <w:tblCellMar>
            <w:top w:w="0" w:type="dxa"/>
            <w:left w:w="108" w:type="dxa"/>
            <w:bottom w:w="0" w:type="dxa"/>
            <w:right w:w="108" w:type="dxa"/>
          </w:tblCellMar>
        </w:tblPrEx>
        <w:trPr>
          <w:trHeight w:val="320" w:hRule="atLeast"/>
          <w:jc w:val="center"/>
        </w:trPr>
        <w:tc>
          <w:tcPr>
            <w:tcW w:w="173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专业课</w:t>
            </w:r>
          </w:p>
        </w:tc>
        <w:tc>
          <w:tcPr>
            <w:tcW w:w="128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143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10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 w:val="18"/>
                <w:szCs w:val="18"/>
                <w:lang w:bidi="ar"/>
              </w:rPr>
              <w:t>928</w:t>
            </w:r>
          </w:p>
        </w:tc>
        <w:tc>
          <w:tcPr>
            <w:tcW w:w="131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42 </w:t>
            </w:r>
          </w:p>
        </w:tc>
        <w:tc>
          <w:tcPr>
            <w:tcW w:w="136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47.2%</w:t>
            </w:r>
          </w:p>
        </w:tc>
      </w:tr>
      <w:tr>
        <w:tblPrEx>
          <w:tblCellMar>
            <w:top w:w="0" w:type="dxa"/>
            <w:left w:w="108" w:type="dxa"/>
            <w:bottom w:w="0" w:type="dxa"/>
            <w:right w:w="108" w:type="dxa"/>
          </w:tblCellMar>
        </w:tblPrEx>
        <w:trPr>
          <w:trHeight w:val="320" w:hRule="atLeast"/>
          <w:jc w:val="center"/>
        </w:trPr>
        <w:tc>
          <w:tcPr>
            <w:tcW w:w="173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专业选修课</w:t>
            </w:r>
          </w:p>
        </w:tc>
        <w:tc>
          <w:tcPr>
            <w:tcW w:w="128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143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10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96 </w:t>
            </w:r>
          </w:p>
        </w:tc>
        <w:tc>
          <w:tcPr>
            <w:tcW w:w="131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136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4.5%</w:t>
            </w:r>
          </w:p>
        </w:tc>
      </w:tr>
      <w:tr>
        <w:tblPrEx>
          <w:tblCellMar>
            <w:top w:w="0" w:type="dxa"/>
            <w:left w:w="108" w:type="dxa"/>
            <w:bottom w:w="0" w:type="dxa"/>
            <w:right w:w="108" w:type="dxa"/>
          </w:tblCellMar>
        </w:tblPrEx>
        <w:trPr>
          <w:trHeight w:val="320" w:hRule="atLeast"/>
          <w:jc w:val="center"/>
        </w:trPr>
        <w:tc>
          <w:tcPr>
            <w:tcW w:w="173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专业实践</w:t>
            </w:r>
          </w:p>
        </w:tc>
        <w:tc>
          <w:tcPr>
            <w:tcW w:w="128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143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10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304</w:t>
            </w:r>
          </w:p>
        </w:tc>
        <w:tc>
          <w:tcPr>
            <w:tcW w:w="131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28 </w:t>
            </w:r>
          </w:p>
        </w:tc>
        <w:tc>
          <w:tcPr>
            <w:tcW w:w="136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31.5%</w:t>
            </w:r>
          </w:p>
        </w:tc>
      </w:tr>
      <w:tr>
        <w:tblPrEx>
          <w:tblCellMar>
            <w:top w:w="0" w:type="dxa"/>
            <w:left w:w="108" w:type="dxa"/>
            <w:bottom w:w="0" w:type="dxa"/>
            <w:right w:w="108" w:type="dxa"/>
          </w:tblCellMar>
        </w:tblPrEx>
        <w:trPr>
          <w:trHeight w:val="320" w:hRule="atLeast"/>
          <w:jc w:val="center"/>
        </w:trPr>
        <w:tc>
          <w:tcPr>
            <w:tcW w:w="173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总计</w:t>
            </w:r>
          </w:p>
        </w:tc>
        <w:tc>
          <w:tcPr>
            <w:tcW w:w="128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43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18</w:t>
            </w:r>
          </w:p>
        </w:tc>
        <w:tc>
          <w:tcPr>
            <w:tcW w:w="10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1836</w:t>
            </w:r>
          </w:p>
        </w:tc>
        <w:tc>
          <w:tcPr>
            <w:tcW w:w="131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89</w:t>
            </w:r>
          </w:p>
        </w:tc>
        <w:tc>
          <w:tcPr>
            <w:tcW w:w="136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r>
    </w:tbl>
    <w:p>
      <w:pPr>
        <w:spacing w:line="440" w:lineRule="exact"/>
        <w:ind w:firstLine="361" w:firstLineChars="150"/>
        <w:rPr>
          <w:rFonts w:ascii="宋体" w:hAnsi="宋体"/>
          <w:b/>
          <w:bCs/>
          <w:sz w:val="24"/>
        </w:rPr>
      </w:pPr>
      <w:r>
        <w:rPr>
          <w:rFonts w:hint="eastAsia" w:ascii="宋体" w:hAnsi="宋体"/>
          <w:b/>
          <w:bCs/>
          <w:sz w:val="24"/>
        </w:rPr>
        <w:t>五、毕业标准及学分要求</w:t>
      </w:r>
    </w:p>
    <w:p>
      <w:pPr>
        <w:spacing w:line="440" w:lineRule="exact"/>
        <w:ind w:firstLine="472" w:firstLineChars="197"/>
        <w:rPr>
          <w:rFonts w:ascii="宋体" w:hAnsi="宋体"/>
          <w:sz w:val="24"/>
        </w:rPr>
      </w:pPr>
      <w:r>
        <w:rPr>
          <w:rFonts w:hint="eastAsia" w:ascii="宋体" w:hAnsi="宋体"/>
          <w:sz w:val="24"/>
        </w:rPr>
        <w:t>最低毕业学分：89；其中公共必修课学分：15；专业必修课学分：42；专业选修课学分：4；实践必修课学分：28。</w:t>
      </w:r>
    </w:p>
    <w:p>
      <w:pPr>
        <w:spacing w:line="440" w:lineRule="exact"/>
        <w:ind w:firstLine="472" w:firstLineChars="197"/>
        <w:rPr>
          <w:rFonts w:ascii="宋体" w:hAnsi="宋体"/>
          <w:sz w:val="24"/>
        </w:rPr>
      </w:pPr>
      <w:r>
        <w:rPr>
          <w:rFonts w:hint="eastAsia" w:ascii="宋体" w:hAnsi="宋体"/>
          <w:sz w:val="24"/>
        </w:rPr>
        <w:t>鼓励学生在校期间，取得高等学校英语应用能力考试B级证书、全国计算机等级考试证书及专业技能证书要求中的一种。</w:t>
      </w:r>
    </w:p>
    <w:p>
      <w:pPr>
        <w:spacing w:line="440" w:lineRule="exact"/>
        <w:ind w:firstLine="590" w:firstLineChars="245"/>
        <w:rPr>
          <w:rFonts w:ascii="宋体" w:hAnsi="宋体"/>
          <w:b/>
          <w:bCs/>
          <w:sz w:val="24"/>
        </w:rPr>
      </w:pPr>
      <w:r>
        <w:rPr>
          <w:rFonts w:hint="eastAsia" w:ascii="宋体" w:hAnsi="宋体"/>
          <w:b/>
          <w:bCs/>
          <w:sz w:val="24"/>
        </w:rPr>
        <w:t>六、课程设置与教学进程</w:t>
      </w:r>
    </w:p>
    <w:p>
      <w:pPr>
        <w:spacing w:line="440" w:lineRule="exact"/>
        <w:jc w:val="center"/>
        <w:rPr>
          <w:rFonts w:ascii="宋体" w:hAnsi="宋体"/>
          <w:b/>
          <w:bCs/>
          <w:sz w:val="24"/>
        </w:rPr>
      </w:pPr>
      <w:r>
        <w:rPr>
          <w:rFonts w:hint="eastAsia" w:ascii="宋体" w:hAnsi="宋体"/>
          <w:b/>
          <w:bCs/>
          <w:sz w:val="24"/>
        </w:rPr>
        <w:t>表6  课程设置与教学进程表</w:t>
      </w:r>
    </w:p>
    <w:tbl>
      <w:tblPr>
        <w:tblStyle w:val="3"/>
        <w:tblW w:w="9574" w:type="dxa"/>
        <w:tblInd w:w="0" w:type="dxa"/>
        <w:tblLayout w:type="autofit"/>
        <w:tblCellMar>
          <w:top w:w="0" w:type="dxa"/>
          <w:left w:w="0" w:type="dxa"/>
          <w:bottom w:w="0" w:type="dxa"/>
          <w:right w:w="0" w:type="dxa"/>
        </w:tblCellMar>
      </w:tblPr>
      <w:tblGrid>
        <w:gridCol w:w="525"/>
        <w:gridCol w:w="525"/>
        <w:gridCol w:w="740"/>
        <w:gridCol w:w="1280"/>
        <w:gridCol w:w="525"/>
        <w:gridCol w:w="551"/>
        <w:gridCol w:w="538"/>
        <w:gridCol w:w="538"/>
        <w:gridCol w:w="538"/>
        <w:gridCol w:w="564"/>
        <w:gridCol w:w="551"/>
        <w:gridCol w:w="552"/>
        <w:gridCol w:w="552"/>
        <w:gridCol w:w="542"/>
        <w:gridCol w:w="526"/>
        <w:gridCol w:w="527"/>
      </w:tblGrid>
      <w:tr>
        <w:tblPrEx>
          <w:tblCellMar>
            <w:top w:w="0" w:type="dxa"/>
            <w:left w:w="0" w:type="dxa"/>
            <w:bottom w:w="0" w:type="dxa"/>
            <w:right w:w="0" w:type="dxa"/>
          </w:tblCellMar>
        </w:tblPrEx>
        <w:trPr>
          <w:trHeight w:val="357" w:hRule="atLeast"/>
        </w:trPr>
        <w:tc>
          <w:tcPr>
            <w:tcW w:w="525" w:type="dxa"/>
            <w:vMerge w:val="restart"/>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课程性质</w:t>
            </w:r>
          </w:p>
        </w:tc>
        <w:tc>
          <w:tcPr>
            <w:tcW w:w="525" w:type="dxa"/>
            <w:vMerge w:val="restart"/>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课程类别</w:t>
            </w:r>
          </w:p>
        </w:tc>
        <w:tc>
          <w:tcPr>
            <w:tcW w:w="740" w:type="dxa"/>
            <w:vMerge w:val="restart"/>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课程代码</w:t>
            </w:r>
          </w:p>
        </w:tc>
        <w:tc>
          <w:tcPr>
            <w:tcW w:w="1280" w:type="dxa"/>
            <w:vMerge w:val="restart"/>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课程名称</w:t>
            </w:r>
          </w:p>
        </w:tc>
        <w:tc>
          <w:tcPr>
            <w:tcW w:w="525" w:type="dxa"/>
            <w:vMerge w:val="restart"/>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学分</w:t>
            </w:r>
          </w:p>
        </w:tc>
        <w:tc>
          <w:tcPr>
            <w:tcW w:w="551" w:type="dxa"/>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总</w:t>
            </w:r>
          </w:p>
        </w:tc>
        <w:tc>
          <w:tcPr>
            <w:tcW w:w="538" w:type="dxa"/>
            <w:vMerge w:val="restart"/>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面授</w:t>
            </w:r>
          </w:p>
        </w:tc>
        <w:tc>
          <w:tcPr>
            <w:tcW w:w="538" w:type="dxa"/>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实</w:t>
            </w:r>
          </w:p>
        </w:tc>
        <w:tc>
          <w:tcPr>
            <w:tcW w:w="538" w:type="dxa"/>
            <w:vMerge w:val="restart"/>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自学</w:t>
            </w:r>
          </w:p>
        </w:tc>
        <w:tc>
          <w:tcPr>
            <w:tcW w:w="2761" w:type="dxa"/>
            <w:gridSpan w:val="5"/>
            <w:vMerge w:val="restart"/>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各学期学时分配</w:t>
            </w:r>
          </w:p>
        </w:tc>
        <w:tc>
          <w:tcPr>
            <w:tcW w:w="1053" w:type="dxa"/>
            <w:gridSpan w:val="2"/>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考核</w:t>
            </w:r>
          </w:p>
        </w:tc>
      </w:tr>
      <w:tr>
        <w:tblPrEx>
          <w:tblCellMar>
            <w:top w:w="0" w:type="dxa"/>
            <w:left w:w="0" w:type="dxa"/>
            <w:bottom w:w="0" w:type="dxa"/>
            <w:right w:w="0" w:type="dxa"/>
          </w:tblCellMar>
        </w:tblPrEx>
        <w:trPr>
          <w:trHeight w:val="357"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1280" w:type="dxa"/>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学</w:t>
            </w:r>
          </w:p>
        </w:tc>
        <w:tc>
          <w:tcPr>
            <w:tcW w:w="538" w:type="dxa"/>
            <w:vMerge w:val="continue"/>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38" w:type="dxa"/>
            <w:tcBorders>
              <w:top w:val="nil"/>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践</w:t>
            </w:r>
          </w:p>
        </w:tc>
        <w:tc>
          <w:tcPr>
            <w:tcW w:w="538" w:type="dxa"/>
            <w:vMerge w:val="continue"/>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2761" w:type="dxa"/>
            <w:gridSpan w:val="5"/>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1053" w:type="dxa"/>
            <w:gridSpan w:val="2"/>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方式</w:t>
            </w: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1280" w:type="dxa"/>
            <w:vMerge w:val="continue"/>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时</w:t>
            </w:r>
          </w:p>
        </w:tc>
        <w:tc>
          <w:tcPr>
            <w:tcW w:w="538" w:type="dxa"/>
            <w:vMerge w:val="continue"/>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0" w:type="auto"/>
            <w:tcBorders>
              <w:top w:val="nil"/>
              <w:left w:val="nil"/>
              <w:bottom w:val="nil"/>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38" w:type="dxa"/>
            <w:vMerge w:val="continue"/>
            <w:tcBorders>
              <w:top w:val="single" w:color="000000" w:sz="8" w:space="0"/>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一</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二</w:t>
            </w:r>
          </w:p>
        </w:tc>
        <w:tc>
          <w:tcPr>
            <w:tcW w:w="552"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三</w:t>
            </w:r>
          </w:p>
        </w:tc>
        <w:tc>
          <w:tcPr>
            <w:tcW w:w="552"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四</w:t>
            </w:r>
          </w:p>
        </w:tc>
        <w:tc>
          <w:tcPr>
            <w:tcW w:w="542"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五</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考试</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考查</w:t>
            </w:r>
          </w:p>
        </w:tc>
      </w:tr>
      <w:tr>
        <w:tblPrEx>
          <w:tblCellMar>
            <w:top w:w="0" w:type="dxa"/>
            <w:left w:w="0" w:type="dxa"/>
            <w:bottom w:w="0" w:type="dxa"/>
            <w:right w:w="0" w:type="dxa"/>
          </w:tblCellMar>
        </w:tblPrEx>
        <w:trPr>
          <w:trHeight w:val="357" w:hRule="atLeast"/>
        </w:trPr>
        <w:tc>
          <w:tcPr>
            <w:tcW w:w="525" w:type="dxa"/>
            <w:vMerge w:val="restart"/>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必修课</w:t>
            </w:r>
          </w:p>
        </w:tc>
        <w:tc>
          <w:tcPr>
            <w:tcW w:w="525" w:type="dxa"/>
            <w:vMerge w:val="restart"/>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公共课</w:t>
            </w: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9170301</w:t>
            </w:r>
          </w:p>
        </w:tc>
        <w:tc>
          <w:tcPr>
            <w:tcW w:w="1280" w:type="dxa"/>
            <w:tcBorders>
              <w:top w:val="nil"/>
              <w:left w:val="nil"/>
              <w:bottom w:val="single" w:color="000000" w:sz="8" w:space="0"/>
              <w:right w:val="nil"/>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大学英语</w:t>
            </w:r>
          </w:p>
        </w:tc>
        <w:tc>
          <w:tcPr>
            <w:tcW w:w="525"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190</w:t>
            </w:r>
          </w:p>
        </w:tc>
        <w:tc>
          <w:tcPr>
            <w:tcW w:w="538" w:type="dxa"/>
            <w:tcBorders>
              <w:top w:val="single" w:color="000000" w:sz="8" w:space="0"/>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538"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38"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130</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30</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30</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957"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9180102</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毛泽东思想和中国特色社会主义理论体系概论</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648"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9180101</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思想道德与法律基础</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16</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9160101</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计算机应用基础</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174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48+30</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小结</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140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46</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124</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both"/>
              <w:textAlignment w:val="center"/>
              <w:rPr>
                <w:rFonts w:hint="default" w:ascii="宋体" w:hAnsi="宋体" w:eastAsia="宋体" w:cs="宋体"/>
                <w:color w:val="000000"/>
                <w:sz w:val="18"/>
                <w:szCs w:val="18"/>
                <w:lang w:val="en-US" w:eastAsia="zh-CN"/>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535"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restart"/>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专业课</w:t>
            </w: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19360402</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人体形态与结构</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24+8</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535"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19360411</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护理学基础</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32+16</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19360403</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生理学</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24+8</w:t>
            </w:r>
          </w:p>
        </w:tc>
        <w:tc>
          <w:tcPr>
            <w:tcW w:w="551" w:type="dxa"/>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648"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19360404</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病理学与病理生理学</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24+8</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19360405</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药理学</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52" w:type="dxa"/>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0" w:type="auto"/>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19360416</w:t>
            </w:r>
          </w:p>
        </w:tc>
        <w:tc>
          <w:tcPr>
            <w:tcW w:w="0" w:type="auto"/>
            <w:tcBorders>
              <w:top w:val="nil"/>
              <w:left w:val="nil"/>
              <w:bottom w:val="nil"/>
              <w:right w:val="nil"/>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老年护理</w:t>
            </w:r>
          </w:p>
        </w:tc>
        <w:tc>
          <w:tcPr>
            <w:tcW w:w="525"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0" w:type="auto"/>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20360402</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外科护理学</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24+8</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0" w:type="auto"/>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20360405</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内科护理学</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19360413</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母婴护理</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24+8</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19360414</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儿童护理</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小计</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928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280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592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64</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96</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b/>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restart"/>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四选二</w:t>
            </w:r>
          </w:p>
        </w:tc>
        <w:tc>
          <w:tcPr>
            <w:tcW w:w="525" w:type="dxa"/>
            <w:vMerge w:val="restart"/>
            <w:tcBorders>
              <w:top w:val="nil"/>
              <w:left w:val="nil"/>
              <w:bottom w:val="nil"/>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专业选修</w:t>
            </w: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19360418</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社区护理</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0"/>
                <w:sz w:val="18"/>
                <w:szCs w:val="18"/>
                <w:lang w:bidi="ar"/>
              </w:rPr>
              <w:t>16</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19360419</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康复护理</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0"/>
                <w:sz w:val="18"/>
                <w:szCs w:val="18"/>
                <w:lang w:bidi="ar"/>
              </w:rPr>
              <w:t>16</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19360407</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护理心理学基础</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16</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19360421</w:t>
            </w: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精神科护理</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39" w:hRule="atLeast"/>
        </w:trPr>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nil"/>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小计</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r>
              <w:rPr>
                <w:rFonts w:hint="eastAsia" w:ascii="宋体" w:hAnsi="宋体" w:cs="宋体"/>
                <w:color w:val="000000"/>
                <w:kern w:val="0"/>
                <w:sz w:val="18"/>
                <w:szCs w:val="18"/>
                <w:lang w:bidi="ar"/>
              </w:rPr>
              <w:t>16</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r>
      <w:tr>
        <w:tblPrEx>
          <w:tblCellMar>
            <w:top w:w="0" w:type="dxa"/>
            <w:left w:w="0" w:type="dxa"/>
            <w:bottom w:w="0" w:type="dxa"/>
            <w:right w:w="0" w:type="dxa"/>
          </w:tblCellMar>
        </w:tblPrEx>
        <w:trPr>
          <w:trHeight w:val="339" w:hRule="atLeast"/>
        </w:trPr>
        <w:tc>
          <w:tcPr>
            <w:tcW w:w="525" w:type="dxa"/>
            <w:vMerge w:val="restart"/>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实践必修课</w:t>
            </w:r>
          </w:p>
        </w:tc>
        <w:tc>
          <w:tcPr>
            <w:tcW w:w="525" w:type="dxa"/>
            <w:vMerge w:val="restart"/>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实训课</w:t>
            </w: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14160101</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急危重症护理实训</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47" w:hRule="atLeast"/>
        </w:trPr>
        <w:tc>
          <w:tcPr>
            <w:tcW w:w="525" w:type="dxa"/>
            <w:vMerge w:val="continue"/>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single" w:color="000000" w:sz="8" w:space="0"/>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14160103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tcMar>
              <w:top w:w="10" w:type="dxa"/>
              <w:left w:w="10" w:type="dxa"/>
              <w:right w:w="10" w:type="dxa"/>
            </w:tcMar>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护理综合实训</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39" w:hRule="atLeast"/>
        </w:trPr>
        <w:tc>
          <w:tcPr>
            <w:tcW w:w="525" w:type="dxa"/>
            <w:vMerge w:val="continue"/>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restart"/>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小计</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r>
      <w:tr>
        <w:tblPrEx>
          <w:tblCellMar>
            <w:top w:w="0" w:type="dxa"/>
            <w:left w:w="0" w:type="dxa"/>
            <w:bottom w:w="0" w:type="dxa"/>
            <w:right w:w="0" w:type="dxa"/>
          </w:tblCellMar>
        </w:tblPrEx>
        <w:trPr>
          <w:trHeight w:val="339" w:hRule="atLeast"/>
        </w:trPr>
        <w:tc>
          <w:tcPr>
            <w:tcW w:w="525" w:type="dxa"/>
            <w:vMerge w:val="continue"/>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9030103</w:t>
            </w: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毕业实习</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240</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w:t>
            </w:r>
          </w:p>
        </w:tc>
      </w:tr>
      <w:tr>
        <w:tblPrEx>
          <w:tblCellMar>
            <w:top w:w="0" w:type="dxa"/>
            <w:left w:w="0" w:type="dxa"/>
            <w:bottom w:w="0" w:type="dxa"/>
            <w:right w:w="0" w:type="dxa"/>
          </w:tblCellMar>
        </w:tblPrEx>
        <w:trPr>
          <w:trHeight w:val="357" w:hRule="atLeast"/>
        </w:trPr>
        <w:tc>
          <w:tcPr>
            <w:tcW w:w="525" w:type="dxa"/>
            <w:vMerge w:val="continue"/>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74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1280"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小计</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Times New Roman" w:hAnsi="Times New Roman"/>
                <w:color w:val="000000"/>
                <w:sz w:val="18"/>
                <w:szCs w:val="18"/>
              </w:rPr>
            </w:pP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240</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7"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r>
      <w:tr>
        <w:tblPrEx>
          <w:tblCellMar>
            <w:top w:w="0" w:type="dxa"/>
            <w:left w:w="0" w:type="dxa"/>
            <w:bottom w:w="0" w:type="dxa"/>
            <w:right w:w="0" w:type="dxa"/>
          </w:tblCellMar>
        </w:tblPrEx>
        <w:trPr>
          <w:trHeight w:val="359" w:hRule="atLeast"/>
        </w:trPr>
        <w:tc>
          <w:tcPr>
            <w:tcW w:w="525" w:type="dxa"/>
            <w:vMerge w:val="continue"/>
            <w:tcBorders>
              <w:top w:val="nil"/>
              <w:left w:val="single" w:color="000000" w:sz="8" w:space="0"/>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525" w:type="dxa"/>
            <w:vMerge w:val="continue"/>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2020" w:type="dxa"/>
            <w:gridSpan w:val="2"/>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总计</w:t>
            </w:r>
          </w:p>
        </w:tc>
        <w:tc>
          <w:tcPr>
            <w:tcW w:w="525"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89</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1836</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452</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390</w:t>
            </w:r>
          </w:p>
        </w:tc>
        <w:tc>
          <w:tcPr>
            <w:tcW w:w="538"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978</w:t>
            </w:r>
          </w:p>
        </w:tc>
        <w:tc>
          <w:tcPr>
            <w:tcW w:w="564"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158</w:t>
            </w:r>
          </w:p>
        </w:tc>
        <w:tc>
          <w:tcPr>
            <w:tcW w:w="551"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188</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96</w:t>
            </w:r>
          </w:p>
        </w:tc>
        <w:tc>
          <w:tcPr>
            <w:tcW w:w="55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144</w:t>
            </w:r>
          </w:p>
        </w:tc>
        <w:tc>
          <w:tcPr>
            <w:tcW w:w="542"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256</w:t>
            </w:r>
          </w:p>
        </w:tc>
        <w:tc>
          <w:tcPr>
            <w:tcW w:w="526" w:type="dxa"/>
            <w:tcBorders>
              <w:top w:val="nil"/>
              <w:left w:val="nil"/>
              <w:bottom w:val="single" w:color="000000" w:sz="8" w:space="0"/>
              <w:right w:val="single" w:color="000000" w:sz="8" w:space="0"/>
            </w:tcBorders>
            <w:shd w:val="clear" w:color="auto" w:fill="auto"/>
            <w:tcMar>
              <w:top w:w="10" w:type="dxa"/>
              <w:left w:w="10" w:type="dxa"/>
              <w:right w:w="10" w:type="dxa"/>
            </w:tcMar>
            <w:vAlign w:val="center"/>
          </w:tcPr>
          <w:p>
            <w:pPr>
              <w:jc w:val="center"/>
              <w:rPr>
                <w:rFonts w:ascii="宋体" w:hAnsi="宋体" w:cs="宋体"/>
                <w:color w:val="000000"/>
                <w:sz w:val="18"/>
                <w:szCs w:val="18"/>
              </w:rPr>
            </w:pPr>
          </w:p>
        </w:tc>
        <w:tc>
          <w:tcPr>
            <w:tcW w:w="0" w:type="auto"/>
            <w:tcBorders>
              <w:top w:val="nil"/>
              <w:left w:val="nil"/>
              <w:bottom w:val="single" w:color="000000" w:sz="8" w:space="0"/>
              <w:right w:val="single" w:color="000000" w:sz="8" w:space="0"/>
            </w:tcBorders>
            <w:shd w:val="clear" w:color="auto" w:fill="auto"/>
            <w:noWrap/>
            <w:tcMar>
              <w:top w:w="10" w:type="dxa"/>
              <w:left w:w="10" w:type="dxa"/>
              <w:right w:w="10" w:type="dxa"/>
            </w:tcMar>
            <w:vAlign w:val="center"/>
          </w:tcPr>
          <w:p>
            <w:pPr>
              <w:jc w:val="center"/>
              <w:rPr>
                <w:rFonts w:ascii="宋体" w:hAnsi="宋体" w:cs="宋体"/>
                <w:color w:val="000000"/>
                <w:sz w:val="18"/>
                <w:szCs w:val="18"/>
              </w:rPr>
            </w:pPr>
          </w:p>
        </w:tc>
      </w:tr>
    </w:tbl>
    <w:p>
      <w:pPr>
        <w:spacing w:line="440" w:lineRule="exact"/>
        <w:rPr>
          <w:rFonts w:ascii="宋体" w:hAnsi="宋体"/>
          <w:b/>
          <w:bCs/>
          <w:sz w:val="24"/>
        </w:rPr>
      </w:pPr>
    </w:p>
    <w:p>
      <w:pPr>
        <w:spacing w:line="440" w:lineRule="exact"/>
        <w:rPr>
          <w:rFonts w:ascii="宋体" w:hAnsi="宋体"/>
          <w:b/>
          <w:bCs/>
          <w:sz w:val="24"/>
        </w:rPr>
      </w:pPr>
    </w:p>
    <w:p>
      <w:pPr>
        <w:spacing w:line="440" w:lineRule="exact"/>
        <w:ind w:firstLine="482" w:firstLineChars="200"/>
        <w:rPr>
          <w:rFonts w:ascii="宋体" w:hAnsi="宋体"/>
          <w:b/>
          <w:bCs/>
          <w:sz w:val="24"/>
        </w:rPr>
      </w:pPr>
    </w:p>
    <w:p>
      <w:pPr>
        <w:spacing w:line="440" w:lineRule="exact"/>
        <w:ind w:firstLine="482" w:firstLineChars="200"/>
        <w:rPr>
          <w:rFonts w:ascii="宋体" w:hAnsi="宋体"/>
          <w:b/>
          <w:bCs/>
          <w:sz w:val="24"/>
        </w:rPr>
      </w:pPr>
      <w:r>
        <w:rPr>
          <w:rFonts w:hint="eastAsia" w:ascii="宋体" w:hAnsi="宋体"/>
          <w:b/>
          <w:bCs/>
          <w:sz w:val="24"/>
        </w:rPr>
        <w:t>七、专业基本条件</w:t>
      </w:r>
    </w:p>
    <w:p>
      <w:pPr>
        <w:snapToGrid w:val="0"/>
        <w:spacing w:line="440" w:lineRule="exact"/>
        <w:ind w:firstLine="475" w:firstLineChars="198"/>
        <w:rPr>
          <w:rFonts w:ascii="宋体" w:hAnsi="宋体" w:cs="宋体"/>
          <w:sz w:val="24"/>
        </w:rPr>
      </w:pPr>
      <w:r>
        <w:rPr>
          <w:rFonts w:hint="eastAsia" w:ascii="宋体" w:hAnsi="宋体" w:cs="宋体"/>
          <w:sz w:val="24"/>
        </w:rPr>
        <w:t>1.专业教学团队</w:t>
      </w:r>
    </w:p>
    <w:p>
      <w:pPr>
        <w:snapToGrid w:val="0"/>
        <w:spacing w:line="440" w:lineRule="exact"/>
        <w:ind w:firstLine="475" w:firstLineChars="198"/>
        <w:rPr>
          <w:rFonts w:ascii="宋体" w:hAnsi="宋体" w:cs="宋体"/>
          <w:sz w:val="24"/>
        </w:rPr>
      </w:pPr>
      <w:r>
        <w:rPr>
          <w:rFonts w:hint="eastAsia" w:ascii="宋体" w:hAnsi="宋体" w:cs="宋体"/>
          <w:sz w:val="24"/>
        </w:rPr>
        <w:t>专业教学团队由专兼职教师组成。专任教师包括专业带头人1人，专业骨干教师1</w:t>
      </w:r>
      <w:r>
        <w:rPr>
          <w:rFonts w:ascii="宋体" w:hAnsi="宋体" w:cs="宋体"/>
          <w:sz w:val="24"/>
        </w:rPr>
        <w:t>0</w:t>
      </w:r>
      <w:r>
        <w:rPr>
          <w:rFonts w:hint="eastAsia" w:ascii="宋体" w:hAnsi="宋体" w:cs="宋体"/>
          <w:sz w:val="24"/>
        </w:rPr>
        <w:t>人，兼职教师5人，兼职教师占比30%以上，</w:t>
      </w:r>
      <w:r>
        <w:rPr>
          <w:sz w:val="24"/>
        </w:rPr>
        <w:t>双师素质教师占专业教师比一般不低于60%，</w:t>
      </w:r>
      <w:r>
        <w:rPr>
          <w:rFonts w:hint="eastAsia" w:ascii="宋体" w:hAnsi="宋体" w:cs="宋体"/>
          <w:sz w:val="24"/>
        </w:rPr>
        <w:t>现有专任教师队伍硕士研究生学历占比达50%，副高以上职称者占比达20%，中级以上职称者占比达50%。</w:t>
      </w:r>
    </w:p>
    <w:p>
      <w:pPr>
        <w:snapToGrid w:val="0"/>
        <w:spacing w:line="440" w:lineRule="exact"/>
        <w:ind w:firstLine="475" w:firstLineChars="198"/>
        <w:rPr>
          <w:rFonts w:ascii="宋体" w:hAnsi="宋体" w:cs="宋体"/>
          <w:sz w:val="24"/>
        </w:rPr>
      </w:pPr>
      <w:r>
        <w:rPr>
          <w:sz w:val="24"/>
        </w:rPr>
        <w:t>专任教师队伍考虑职称、学历、年龄，形成合理的梯队结构</w:t>
      </w:r>
      <w:r>
        <w:rPr>
          <w:rFonts w:hint="eastAsia"/>
          <w:sz w:val="24"/>
        </w:rPr>
        <w:t>，</w:t>
      </w:r>
      <w:r>
        <w:rPr>
          <w:rFonts w:hint="eastAsia" w:ascii="宋体" w:hAnsi="宋体" w:cs="宋体"/>
          <w:sz w:val="24"/>
        </w:rPr>
        <w:t>最终形成较强的师资力量。专任教师学历、专业、职称、年龄等结构合理配备，</w:t>
      </w:r>
      <w:r>
        <w:rPr>
          <w:sz w:val="24"/>
        </w:rPr>
        <w:t>具有高校教师资格和本专业领域有关证书；有理想信念、有道德情操、有扎实学识、有仁爱之心；具有护理相关专业本科及以上学历；具有扎实的护理相关理论功底和实践能力；具有较强信息化教学能力，能够开展课程教学改革和科学研究；每五年累计不少于6个月的行业医院实践经历。</w:t>
      </w:r>
      <w:r>
        <w:rPr>
          <w:rFonts w:hint="eastAsia"/>
          <w:sz w:val="24"/>
        </w:rPr>
        <w:t>其中</w:t>
      </w:r>
      <w:r>
        <w:rPr>
          <w:sz w:val="24"/>
        </w:rPr>
        <w:t>专业带头人有副高及以上职称，能够较好地把握国内外护理行业、专业发展，能广泛联系行业企业，了解行业医院对护理专业人才的需求实际，教学设计、专业研究能力强，组织开展教科研工作能力强，在本区域或本领域具有一定的专业影响力。</w:t>
      </w:r>
    </w:p>
    <w:p>
      <w:pPr>
        <w:snapToGrid w:val="0"/>
        <w:spacing w:line="440" w:lineRule="exact"/>
        <w:ind w:firstLine="475" w:firstLineChars="198"/>
        <w:rPr>
          <w:sz w:val="24"/>
        </w:rPr>
      </w:pPr>
      <w:r>
        <w:rPr>
          <w:sz w:val="24"/>
        </w:rPr>
        <w:t>兼职教师主要从医疗机构聘任，具备良好的思想政治素质、职业道德和工匠精神，具有扎实的护理专业知识和丰富的实际工作经验，具有中级及以上相关专业职称，能承担专业课程教学、实习实训指导和学生职业发展规划指导等教学任务。</w:t>
      </w:r>
    </w:p>
    <w:p>
      <w:pPr>
        <w:snapToGrid w:val="0"/>
        <w:spacing w:line="440" w:lineRule="exact"/>
        <w:ind w:firstLine="475" w:firstLineChars="198"/>
        <w:rPr>
          <w:rFonts w:ascii="宋体" w:hAnsi="宋体" w:cs="宋体"/>
          <w:sz w:val="24"/>
        </w:rPr>
      </w:pPr>
      <w:r>
        <w:rPr>
          <w:rFonts w:hint="eastAsia" w:ascii="宋体" w:hAnsi="宋体" w:cs="宋体"/>
          <w:sz w:val="24"/>
        </w:rPr>
        <w:t>2.教学设施</w:t>
      </w:r>
    </w:p>
    <w:p>
      <w:pPr>
        <w:snapToGrid w:val="0"/>
        <w:spacing w:line="440" w:lineRule="exact"/>
        <w:ind w:firstLine="480" w:firstLineChars="200"/>
        <w:rPr>
          <w:rFonts w:ascii="宋体" w:hAnsi="宋体" w:cs="宋体"/>
          <w:sz w:val="24"/>
        </w:rPr>
      </w:pPr>
      <w:r>
        <w:rPr>
          <w:rFonts w:hint="eastAsia" w:ascii="宋体" w:hAnsi="宋体" w:cs="宋体"/>
          <w:sz w:val="24"/>
        </w:rPr>
        <w:t>（1）校内实训条件配置与要求</w:t>
      </w:r>
    </w:p>
    <w:p>
      <w:pPr>
        <w:spacing w:before="156" w:after="156" w:line="440" w:lineRule="exact"/>
        <w:jc w:val="center"/>
        <w:rPr>
          <w:rFonts w:ascii="宋体" w:hAnsi="宋体"/>
          <w:b/>
          <w:sz w:val="24"/>
        </w:rPr>
      </w:pPr>
      <w:r>
        <w:rPr>
          <w:rFonts w:hint="eastAsia" w:ascii="宋体" w:hAnsi="宋体"/>
          <w:b/>
          <w:sz w:val="24"/>
        </w:rPr>
        <w:t>表6校内实训条件与配置需求表</w:t>
      </w:r>
    </w:p>
    <w:tbl>
      <w:tblPr>
        <w:tblStyle w:val="3"/>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1275"/>
        <w:gridCol w:w="2142"/>
        <w:gridCol w:w="1701"/>
        <w:gridCol w:w="2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序号</w:t>
            </w: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实训室名称</w:t>
            </w:r>
          </w:p>
        </w:tc>
        <w:tc>
          <w:tcPr>
            <w:tcW w:w="214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kern w:val="0"/>
                <w:szCs w:val="21"/>
              </w:rPr>
            </w:pPr>
            <w:r>
              <w:rPr>
                <w:rFonts w:hint="eastAsia" w:ascii="宋体" w:hAnsi="宋体" w:cs="宋体"/>
                <w:kern w:val="0"/>
                <w:szCs w:val="21"/>
              </w:rPr>
              <w:t>实训功能</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kern w:val="0"/>
                <w:szCs w:val="21"/>
              </w:rPr>
            </w:pPr>
            <w:r>
              <w:rPr>
                <w:rFonts w:hint="eastAsia" w:ascii="宋体" w:hAnsi="宋体" w:cs="宋体"/>
                <w:kern w:val="0"/>
                <w:szCs w:val="21"/>
              </w:rPr>
              <w:t>实训课程</w:t>
            </w:r>
          </w:p>
        </w:tc>
        <w:tc>
          <w:tcPr>
            <w:tcW w:w="243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kern w:val="0"/>
                <w:szCs w:val="21"/>
              </w:rPr>
            </w:pPr>
            <w:r>
              <w:rPr>
                <w:rFonts w:hint="eastAsia" w:ascii="宋体" w:hAnsi="宋体" w:cs="宋体"/>
                <w:kern w:val="0"/>
                <w:szCs w:val="21"/>
              </w:rPr>
              <w:t>主要设备配置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w:t>
            </w:r>
          </w:p>
        </w:tc>
        <w:tc>
          <w:tcPr>
            <w:tcW w:w="1275" w:type="dxa"/>
            <w:tcBorders>
              <w:top w:val="single" w:color="auto" w:sz="4" w:space="0"/>
              <w:left w:val="single" w:color="auto" w:sz="4" w:space="0"/>
              <w:bottom w:val="single" w:color="auto" w:sz="4" w:space="0"/>
              <w:right w:val="single" w:color="auto" w:sz="4" w:space="0"/>
            </w:tcBorders>
            <w:vAlign w:val="center"/>
          </w:tcPr>
          <w:p>
            <w:pPr>
              <w:jc w:val="left"/>
            </w:pPr>
            <w:r>
              <w:t>基础护理</w:t>
            </w:r>
          </w:p>
          <w:p>
            <w:pPr>
              <w:jc w:val="left"/>
              <w:rPr>
                <w:rFonts w:ascii="宋体" w:hAnsi="宋体" w:cs="宋体"/>
                <w:szCs w:val="21"/>
              </w:rPr>
            </w:pPr>
            <w:r>
              <w:t>实训室</w:t>
            </w:r>
          </w:p>
        </w:tc>
        <w:tc>
          <w:tcPr>
            <w:tcW w:w="2142"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rPr>
                <w:rFonts w:hint="eastAsia" w:ascii="宋体" w:hAnsi="宋体" w:cs="宋体"/>
                <w:szCs w:val="21"/>
              </w:rPr>
              <w:t>供护理专业基础护理教学中示教、演示、操练、测试的场所</w:t>
            </w:r>
          </w:p>
        </w:tc>
        <w:tc>
          <w:tcPr>
            <w:tcW w:w="1701"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rPr>
                <w:rFonts w:hint="eastAsia" w:ascii="宋体" w:hAnsi="宋体" w:cs="宋体"/>
                <w:szCs w:val="21"/>
              </w:rPr>
              <w:t>人体形态、用药护理、护理基本技术</w:t>
            </w:r>
          </w:p>
        </w:tc>
        <w:tc>
          <w:tcPr>
            <w:tcW w:w="2437"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t>备用床、麻醉床、多功能病床、多功能护理人、鼻饲模型、导尿及灌肠模型、各类给药模型等。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1275" w:type="dxa"/>
            <w:tcBorders>
              <w:top w:val="single" w:color="auto" w:sz="4" w:space="0"/>
              <w:left w:val="single" w:color="auto" w:sz="4" w:space="0"/>
              <w:bottom w:val="single" w:color="auto" w:sz="4" w:space="0"/>
              <w:right w:val="single" w:color="auto" w:sz="4" w:space="0"/>
            </w:tcBorders>
            <w:vAlign w:val="center"/>
          </w:tcPr>
          <w:p>
            <w:pPr>
              <w:jc w:val="left"/>
            </w:pPr>
            <w:r>
              <w:t>专项护理</w:t>
            </w:r>
          </w:p>
          <w:p>
            <w:pPr>
              <w:jc w:val="left"/>
              <w:rPr>
                <w:rFonts w:ascii="宋体" w:hAnsi="宋体" w:cs="宋体"/>
                <w:szCs w:val="21"/>
              </w:rPr>
            </w:pPr>
            <w:r>
              <w:t>实训室</w:t>
            </w:r>
          </w:p>
        </w:tc>
        <w:tc>
          <w:tcPr>
            <w:tcW w:w="2142"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rPr>
                <w:rFonts w:hint="eastAsia" w:ascii="宋体" w:hAnsi="宋体" w:cs="宋体"/>
                <w:szCs w:val="21"/>
              </w:rPr>
              <w:t>能够对临床护理、口腔护理、中医护理、老人护理、康复护理、社区护理实训相关操作的教学与练习。</w:t>
            </w:r>
          </w:p>
        </w:tc>
        <w:tc>
          <w:tcPr>
            <w:tcW w:w="1701"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rPr>
                <w:rFonts w:hint="eastAsia" w:ascii="宋体" w:hAnsi="宋体" w:cs="宋体"/>
                <w:szCs w:val="21"/>
              </w:rPr>
              <w:t>临床护理、口腔护理、中医护理、老人护理、康复护理、社区护理。</w:t>
            </w:r>
          </w:p>
        </w:tc>
        <w:tc>
          <w:tcPr>
            <w:tcW w:w="2437"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t>智能化胸腹部检查教学仪、心电图机、心肺复苏训练模拟人、快速血糖仪、心电监护仪、局部创伤模型、瘘管造口术护理模型、手术器械台、常用手术器械包、胎心监护仪、分娩综合技能模型、婴儿护理模型、老年护理模拟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w:t>
            </w:r>
          </w:p>
        </w:tc>
        <w:tc>
          <w:tcPr>
            <w:tcW w:w="1275" w:type="dxa"/>
            <w:tcBorders>
              <w:top w:val="single" w:color="auto" w:sz="4" w:space="0"/>
              <w:left w:val="single" w:color="auto" w:sz="4" w:space="0"/>
              <w:bottom w:val="single" w:color="auto" w:sz="4" w:space="0"/>
              <w:right w:val="single" w:color="auto" w:sz="4" w:space="0"/>
            </w:tcBorders>
            <w:vAlign w:val="center"/>
          </w:tcPr>
          <w:p>
            <w:pPr>
              <w:jc w:val="left"/>
            </w:pPr>
            <w:r>
              <w:t>拓展护理</w:t>
            </w:r>
          </w:p>
          <w:p>
            <w:pPr>
              <w:jc w:val="left"/>
              <w:rPr>
                <w:rFonts w:ascii="宋体" w:hAnsi="宋体" w:cs="宋体"/>
                <w:szCs w:val="21"/>
              </w:rPr>
            </w:pPr>
            <w:r>
              <w:t>实训室</w:t>
            </w:r>
          </w:p>
        </w:tc>
        <w:tc>
          <w:tcPr>
            <w:tcW w:w="2142"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rPr>
                <w:rFonts w:hint="eastAsia" w:ascii="宋体" w:hAnsi="宋体" w:cs="宋体"/>
                <w:szCs w:val="21"/>
              </w:rPr>
              <w:t>拓展服务、面向社会。以健康为中心，以需求为导向，不断创新服务模式，拓展工作内涵，大力发展立足于社会和家庭的老年护理、慢性病护理、临终关怀等护理服务。</w:t>
            </w:r>
          </w:p>
        </w:tc>
        <w:tc>
          <w:tcPr>
            <w:tcW w:w="1701"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rPr>
                <w:rFonts w:hint="eastAsia" w:ascii="宋体" w:hAnsi="宋体" w:cs="宋体"/>
                <w:szCs w:val="21"/>
              </w:rPr>
              <w:t>成立广东南方中医药学院红十字志愿者护理服务站，开展“长期护理实践模式”、“义工护理服务模式”、“家庭护理服务模式”拓展护理服务。</w:t>
            </w:r>
          </w:p>
        </w:tc>
        <w:tc>
          <w:tcPr>
            <w:tcW w:w="2437"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Cs w:val="21"/>
              </w:rPr>
            </w:pPr>
            <w:r>
              <w:t>物理治疗（PT）训练床、肩关节回旋训练器、助行器、多媒体按摩点穴电子人体模型、家庭访视包、约束床、智能身心反馈音乐放松仪等</w:t>
            </w:r>
            <w:r>
              <w:rPr>
                <w:rFonts w:hint="eastAsia"/>
              </w:rPr>
              <w:t>。</w:t>
            </w:r>
          </w:p>
        </w:tc>
      </w:tr>
    </w:tbl>
    <w:p>
      <w:pPr>
        <w:snapToGrid w:val="0"/>
        <w:spacing w:line="440" w:lineRule="exact"/>
        <w:rPr>
          <w:rFonts w:ascii="宋体" w:hAnsi="宋体" w:cs="宋体"/>
          <w:sz w:val="24"/>
        </w:rPr>
      </w:pPr>
      <w:r>
        <w:rPr>
          <w:rFonts w:hint="eastAsia" w:ascii="宋体" w:hAnsi="宋体" w:cs="宋体"/>
          <w:sz w:val="24"/>
        </w:rPr>
        <w:t>（2）主要校外实习实训基地一览表</w:t>
      </w:r>
    </w:p>
    <w:p>
      <w:pPr>
        <w:snapToGrid w:val="0"/>
        <w:spacing w:line="440" w:lineRule="exact"/>
        <w:jc w:val="center"/>
        <w:rPr>
          <w:rFonts w:ascii="宋体" w:hAnsi="宋体"/>
          <w:b/>
          <w:sz w:val="24"/>
        </w:rPr>
      </w:pPr>
      <w:r>
        <w:rPr>
          <w:rFonts w:hint="eastAsia" w:ascii="宋体" w:hAnsi="宋体"/>
          <w:b/>
          <w:sz w:val="24"/>
        </w:rPr>
        <w:t>表7校外实训基地一览表</w:t>
      </w:r>
    </w:p>
    <w:tbl>
      <w:tblPr>
        <w:tblStyle w:val="3"/>
        <w:tblW w:w="8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3084"/>
        <w:gridCol w:w="1618"/>
        <w:gridCol w:w="2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序号</w:t>
            </w:r>
          </w:p>
        </w:tc>
        <w:tc>
          <w:tcPr>
            <w:tcW w:w="308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实习实训基地名称</w:t>
            </w:r>
          </w:p>
        </w:tc>
        <w:tc>
          <w:tcPr>
            <w:tcW w:w="16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实习实训功能</w:t>
            </w:r>
          </w:p>
        </w:tc>
        <w:tc>
          <w:tcPr>
            <w:tcW w:w="28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主要实习实训条件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w:t>
            </w:r>
          </w:p>
        </w:tc>
        <w:tc>
          <w:tcPr>
            <w:tcW w:w="3084"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cs="宋体"/>
                <w:szCs w:val="21"/>
              </w:rPr>
            </w:pPr>
            <w:r>
              <w:rPr>
                <w:rFonts w:hint="eastAsia" w:ascii="宋体" w:hAnsi="宋体" w:cs="宋体"/>
                <w:szCs w:val="21"/>
              </w:rPr>
              <w:t>广州中医药大学金沙洲医院实习基地</w:t>
            </w:r>
          </w:p>
        </w:tc>
        <w:tc>
          <w:tcPr>
            <w:tcW w:w="16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顶岗实习</w:t>
            </w:r>
          </w:p>
        </w:tc>
        <w:tc>
          <w:tcPr>
            <w:tcW w:w="28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医院相关科室护理专业实操技术实习实训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3084"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cs="宋体"/>
                <w:szCs w:val="21"/>
              </w:rPr>
            </w:pPr>
            <w:r>
              <w:rPr>
                <w:rFonts w:hint="eastAsia" w:ascii="宋体" w:hAnsi="宋体" w:cs="宋体"/>
                <w:szCs w:val="21"/>
              </w:rPr>
              <w:t>江门市中医院实习基地</w:t>
            </w:r>
          </w:p>
        </w:tc>
        <w:tc>
          <w:tcPr>
            <w:tcW w:w="16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顶岗实习</w:t>
            </w:r>
          </w:p>
        </w:tc>
        <w:tc>
          <w:tcPr>
            <w:tcW w:w="28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医院相关科室护理专业实操技术实习实训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w:t>
            </w:r>
          </w:p>
        </w:tc>
        <w:tc>
          <w:tcPr>
            <w:tcW w:w="3084"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ascii="宋体" w:hAnsi="宋体" w:cs="宋体"/>
                <w:szCs w:val="21"/>
              </w:rPr>
            </w:pPr>
            <w:r>
              <w:rPr>
                <w:rFonts w:hint="eastAsia" w:ascii="宋体" w:hAnsi="宋体" w:cs="宋体"/>
                <w:szCs w:val="21"/>
              </w:rPr>
              <w:t>广州中医药大学附属新会中医院实习基地</w:t>
            </w:r>
          </w:p>
        </w:tc>
        <w:tc>
          <w:tcPr>
            <w:tcW w:w="16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顶岗实习</w:t>
            </w:r>
          </w:p>
        </w:tc>
        <w:tc>
          <w:tcPr>
            <w:tcW w:w="28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医院相关科室护理专业实操技术实习实训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3084"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cs="宋体"/>
                <w:szCs w:val="21"/>
              </w:rPr>
            </w:pPr>
            <w:r>
              <w:rPr>
                <w:rFonts w:hint="eastAsia" w:ascii="宋体" w:hAnsi="宋体" w:cs="宋体"/>
                <w:szCs w:val="21"/>
              </w:rPr>
              <w:t>广东省工人医院实习基地</w:t>
            </w:r>
          </w:p>
        </w:tc>
        <w:tc>
          <w:tcPr>
            <w:tcW w:w="16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顶岗实习</w:t>
            </w:r>
          </w:p>
        </w:tc>
        <w:tc>
          <w:tcPr>
            <w:tcW w:w="28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医院相关科室护理专业实操技术实习实训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5</w:t>
            </w:r>
          </w:p>
        </w:tc>
        <w:tc>
          <w:tcPr>
            <w:tcW w:w="3084"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cs="宋体"/>
                <w:szCs w:val="21"/>
              </w:rPr>
            </w:pPr>
            <w:r>
              <w:rPr>
                <w:rFonts w:hint="eastAsia" w:ascii="宋体" w:hAnsi="宋体" w:cs="宋体"/>
                <w:szCs w:val="21"/>
              </w:rPr>
              <w:t>江门市人民医院实习基地</w:t>
            </w:r>
          </w:p>
        </w:tc>
        <w:tc>
          <w:tcPr>
            <w:tcW w:w="16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顶岗实习</w:t>
            </w:r>
          </w:p>
        </w:tc>
        <w:tc>
          <w:tcPr>
            <w:tcW w:w="28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医院相关科室护理专业实操技术实习实训</w:t>
            </w:r>
          </w:p>
        </w:tc>
      </w:tr>
    </w:tbl>
    <w:p>
      <w:pPr>
        <w:spacing w:line="440" w:lineRule="exact"/>
        <w:ind w:firstLine="482" w:firstLineChars="200"/>
        <w:rPr>
          <w:rFonts w:ascii="宋体" w:hAnsi="宋体"/>
          <w:b/>
          <w:bCs/>
          <w:sz w:val="24"/>
        </w:rPr>
      </w:pPr>
      <w:r>
        <w:rPr>
          <w:rFonts w:hint="eastAsia" w:ascii="宋体" w:hAnsi="宋体"/>
          <w:b/>
          <w:bCs/>
          <w:sz w:val="24"/>
        </w:rPr>
        <w:t>八、课程考核评价方式</w:t>
      </w:r>
    </w:p>
    <w:p>
      <w:pPr>
        <w:spacing w:line="430" w:lineRule="exact"/>
        <w:ind w:firstLine="480" w:firstLineChars="200"/>
        <w:rPr>
          <w:rFonts w:ascii="宋体" w:hAnsi="宋体"/>
          <w:sz w:val="24"/>
        </w:rPr>
      </w:pPr>
      <w:r>
        <w:rPr>
          <w:rFonts w:hint="eastAsia" w:ascii="宋体" w:hAnsi="宋体"/>
          <w:sz w:val="24"/>
        </w:rPr>
        <w:t>专业课程教学考核评价方式，要突出对学生专业基础知识和实践能力的均衡考核评价，建立形式多样化的课程考核评价体系，积极吸纳行业、企业和社会参与学生的考核评价，通过多样式的考核方式，实现对学生专业技能的综合素质评价，激发学生自主性学习，鼓励学生个性发展，培养学生的创新意识和创造能力，提升学生的专业能力。</w:t>
      </w:r>
    </w:p>
    <w:p>
      <w:pPr>
        <w:spacing w:line="430" w:lineRule="exact"/>
        <w:ind w:firstLine="480" w:firstLineChars="200"/>
        <w:rPr>
          <w:rFonts w:ascii="宋体" w:hAnsi="宋体"/>
          <w:sz w:val="24"/>
        </w:rPr>
      </w:pPr>
      <w:r>
        <w:rPr>
          <w:rFonts w:hint="eastAsia" w:ascii="宋体" w:hAnsi="宋体"/>
          <w:sz w:val="24"/>
        </w:rPr>
        <w:t>所有必修课和学生选定的选修课及岗前实训等，均在教学过程中或完成教学目标时进行知识和技能考核，合格者取得该课程学分。</w:t>
      </w:r>
    </w:p>
    <w:p>
      <w:pPr>
        <w:spacing w:line="440" w:lineRule="exact"/>
        <w:ind w:firstLine="588" w:firstLineChars="245"/>
        <w:rPr>
          <w:rFonts w:ascii="宋体" w:hAnsi="宋体"/>
          <w:b/>
          <w:bCs/>
          <w:sz w:val="24"/>
        </w:rPr>
      </w:pPr>
      <w:r>
        <w:rPr>
          <w:rFonts w:hint="eastAsia" w:ascii="宋体" w:hAnsi="宋体"/>
          <w:sz w:val="24"/>
        </w:rPr>
        <w:t>在技能考核方面分为校内实训、校外实习实训和技能考证。对于涉及实训内容的课程，根据完成实训操作和实训报告的等级程度评定成绩；校外实习实训成绩考核由企业根据企业岗位标准和岗位职责对学生进行考核；职业资格和技能鉴定与课程考核接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56648D"/>
    <w:multiLevelType w:val="singleLevel"/>
    <w:tmpl w:val="3956648D"/>
    <w:lvl w:ilvl="0" w:tentative="0">
      <w:start w:val="5"/>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EE373C"/>
    <w:rsid w:val="001D65EB"/>
    <w:rsid w:val="00D46591"/>
    <w:rsid w:val="00F41E88"/>
    <w:rsid w:val="10B43136"/>
    <w:rsid w:val="1A91119A"/>
    <w:rsid w:val="25E24672"/>
    <w:rsid w:val="2A843851"/>
    <w:rsid w:val="34BA6D84"/>
    <w:rsid w:val="51C84DE1"/>
    <w:rsid w:val="5CEE373C"/>
    <w:rsid w:val="5F3266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widowControl/>
      <w:spacing w:before="100" w:beforeAutospacing="1" w:after="100" w:afterAutospacing="1"/>
      <w:jc w:val="center"/>
      <w:outlineLvl w:val="0"/>
    </w:pPr>
    <w:rPr>
      <w:b/>
      <w:bCs/>
      <w:kern w:val="44"/>
      <w:sz w:val="32"/>
      <w:szCs w:val="44"/>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customStyle="1" w:styleId="5">
    <w:name w:val="font01"/>
    <w:basedOn w:val="4"/>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951</Words>
  <Characters>5426</Characters>
  <Lines>45</Lines>
  <Paragraphs>12</Paragraphs>
  <TotalTime>12</TotalTime>
  <ScaleCrop>false</ScaleCrop>
  <LinksUpToDate>false</LinksUpToDate>
  <CharactersWithSpaces>6365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2020-04-13T04:16:00Z</dcterms:created>
  <dc:creator>✨ 彤</dc:creator>
  <cp:lastModifiedBy>✨ 彤</cp:lastModifiedBy>
  <dcterms:modified xsi:type="dcterms:W3CDTF">2021-01-30T11:21:23Z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